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游ゴシック" w:hAnsi="游ゴシック" w:eastAsia="游ゴシック" w:cs="游ゴシック"/>
          <w:b/>
          <w:color w:val="1A1720"/>
          <w:sz w:val="36"/>
        </w:rPr>
        <w:t>稟議書：人事評価へのAI活用 試験導入について</w:t>
      </w:r>
    </w:p>
    <w:p>
      <w:r>
        <w:rPr>
          <w:rFonts w:ascii="游ゴシック" w:hAnsi="游ゴシック" w:eastAsia="游ゴシック" w:cs="游ゴシック"/>
          <w:color w:val="6B6459"/>
          <w:sz w:val="18"/>
        </w:rPr>
        <w:t>グレーの文字は記入のポイントと記入例です。削除して自社の内容に書き換えてください。</w:t>
      </w:r>
    </w:p>
    <w:tbl>
      <w:tblPr>
        <w:tblStyle w:val="TableGrid"/>
        <w:tblW w:type="auto" w:w="0"/>
        <w:jc w:val="center"/>
        <w:tblLayout w:type="fixed"/>
        <w:tblLook w:firstColumn="1" w:firstRow="1" w:lastColumn="0" w:lastRow="0" w:noHBand="0" w:noVBand="1" w:val="04A0"/>
      </w:tblPr>
      <w:tblGrid>
        <w:gridCol w:w="2139"/>
        <w:gridCol w:w="2139"/>
        <w:gridCol w:w="2994"/>
        <w:gridCol w:w="2139"/>
      </w:tblGrid>
      <w:tr>
        <w:tc>
          <w:tcPr>
            <w:tcW w:type="dxa" w:w="2139"/>
            <w:shd w:val="clear" w:color="auto" w:fill="F3EEE6"/>
          </w:tcPr>
          <w:p>
            <w:r/>
            <w:r>
              <w:rPr>
                <w:rFonts w:ascii="游ゴシック" w:hAnsi="游ゴシック" w:eastAsia="游ゴシック" w:cs="游ゴシック"/>
                <w:b/>
                <w:sz w:val="19"/>
              </w:rPr>
              <w:t>稟議番号</w:t>
            </w:r>
          </w:p>
        </w:tc>
        <w:tc>
          <w:tcPr>
            <w:tcW w:type="dxa" w:w="2139"/>
            <w:shd w:val="clear" w:color="auto" w:fill="F3EEE6"/>
          </w:tcPr>
          <w:p>
            <w:r/>
            <w:r>
              <w:rPr>
                <w:rFonts w:ascii="游ゴシック" w:hAnsi="游ゴシック" w:eastAsia="游ゴシック" w:cs="游ゴシック"/>
                <w:b/>
                <w:sz w:val="19"/>
              </w:rPr>
              <w:t>起案日</w:t>
            </w:r>
          </w:p>
        </w:tc>
        <w:tc>
          <w:tcPr>
            <w:tcW w:type="dxa" w:w="2994"/>
            <w:shd w:val="clear" w:color="auto" w:fill="F3EEE6"/>
          </w:tcPr>
          <w:p>
            <w:r/>
            <w:r>
              <w:rPr>
                <w:rFonts w:ascii="游ゴシック" w:hAnsi="游ゴシック" w:eastAsia="游ゴシック" w:cs="游ゴシック"/>
                <w:b/>
                <w:sz w:val="19"/>
              </w:rPr>
              <w:t>起案者（所属・氏名）</w:t>
            </w:r>
          </w:p>
        </w:tc>
        <w:tc>
          <w:tcPr>
            <w:tcW w:type="dxa" w:w="2139"/>
            <w:shd w:val="clear" w:color="auto" w:fill="F3EEE6"/>
          </w:tcPr>
          <w:p>
            <w:r/>
            <w:r>
              <w:rPr>
                <w:rFonts w:ascii="游ゴシック" w:hAnsi="游ゴシック" w:eastAsia="游ゴシック" w:cs="游ゴシック"/>
                <w:b/>
                <w:sz w:val="19"/>
              </w:rPr>
              <w:t>決裁期限</w:t>
            </w:r>
          </w:p>
        </w:tc>
      </w:tr>
      <w:tr>
        <w:tc>
          <w:tcPr>
            <w:tcW w:type="dxa" w:w="2139"/>
          </w:tcPr>
          <w:p>
            <w:r/>
            <w:r>
              <w:rPr>
                <w:rFonts w:ascii="游ゴシック" w:hAnsi="游ゴシック" w:eastAsia="游ゴシック" w:cs="游ゴシック"/>
                <w:sz w:val="19"/>
              </w:rPr>
            </w:r>
          </w:p>
        </w:tc>
        <w:tc>
          <w:tcPr>
            <w:tcW w:type="dxa" w:w="2139"/>
          </w:tcPr>
          <w:p>
            <w:r/>
            <w:r>
              <w:rPr>
                <w:rFonts w:ascii="游ゴシック" w:hAnsi="游ゴシック" w:eastAsia="游ゴシック" w:cs="游ゴシック"/>
                <w:sz w:val="19"/>
              </w:rPr>
            </w:r>
          </w:p>
        </w:tc>
        <w:tc>
          <w:tcPr>
            <w:tcW w:type="dxa" w:w="2994"/>
          </w:tcPr>
          <w:p>
            <w:r/>
            <w:r>
              <w:rPr>
                <w:rFonts w:ascii="游ゴシック" w:hAnsi="游ゴシック" w:eastAsia="游ゴシック" w:cs="游ゴシック"/>
                <w:sz w:val="19"/>
              </w:rPr>
            </w:r>
          </w:p>
        </w:tc>
        <w:tc>
          <w:tcPr>
            <w:tcW w:type="dxa" w:w="2139"/>
          </w:tcPr>
          <w:p>
            <w:r/>
            <w:r>
              <w:rPr>
                <w:rFonts w:ascii="游ゴシック" w:hAnsi="游ゴシック" w:eastAsia="游ゴシック" w:cs="游ゴシック"/>
                <w:sz w:val="19"/>
              </w:rPr>
            </w:r>
          </w:p>
        </w:tc>
      </w:tr>
    </w:tbl>
    <w:p/>
    <w:tbl>
      <w:tblPr>
        <w:tblStyle w:val="TableGrid"/>
        <w:tblW w:type="auto" w:w="0"/>
        <w:jc w:val="center"/>
        <w:tblLayout w:type="fixed"/>
        <w:tblLook w:firstColumn="1" w:firstRow="1" w:lastColumn="0" w:lastRow="0" w:noHBand="0" w:noVBand="1" w:val="04A0"/>
      </w:tblPr>
      <w:tblGrid>
        <w:gridCol w:w="2353"/>
        <w:gridCol w:w="2353"/>
        <w:gridCol w:w="2353"/>
        <w:gridCol w:w="2353"/>
      </w:tblGrid>
      <w:tr>
        <w:tc>
          <w:tcPr>
            <w:tcW w:type="dxa" w:w="2353"/>
            <w:shd w:val="clear" w:color="auto" w:fill="F3EEE6"/>
          </w:tcPr>
          <w:p>
            <w:r/>
            <w:r>
              <w:rPr>
                <w:rFonts w:ascii="游ゴシック" w:hAnsi="游ゴシック" w:eastAsia="游ゴシック" w:cs="游ゴシック"/>
                <w:b/>
                <w:sz w:val="19"/>
              </w:rPr>
              <w:t>担当</w:t>
            </w:r>
          </w:p>
        </w:tc>
        <w:tc>
          <w:tcPr>
            <w:tcW w:type="dxa" w:w="2353"/>
            <w:shd w:val="clear" w:color="auto" w:fill="F3EEE6"/>
          </w:tcPr>
          <w:p>
            <w:r/>
            <w:r>
              <w:rPr>
                <w:rFonts w:ascii="游ゴシック" w:hAnsi="游ゴシック" w:eastAsia="游ゴシック" w:cs="游ゴシック"/>
                <w:b/>
                <w:sz w:val="19"/>
              </w:rPr>
              <w:t>課長</w:t>
            </w:r>
          </w:p>
        </w:tc>
        <w:tc>
          <w:tcPr>
            <w:tcW w:type="dxa" w:w="2353"/>
            <w:shd w:val="clear" w:color="auto" w:fill="F3EEE6"/>
          </w:tcPr>
          <w:p>
            <w:r/>
            <w:r>
              <w:rPr>
                <w:rFonts w:ascii="游ゴシック" w:hAnsi="游ゴシック" w:eastAsia="游ゴシック" w:cs="游ゴシック"/>
                <w:b/>
                <w:sz w:val="19"/>
              </w:rPr>
              <w:t>部長</w:t>
            </w:r>
          </w:p>
        </w:tc>
        <w:tc>
          <w:tcPr>
            <w:tcW w:type="dxa" w:w="2353"/>
            <w:shd w:val="clear" w:color="auto" w:fill="F3EEE6"/>
          </w:tcPr>
          <w:p>
            <w:r/>
            <w:r>
              <w:rPr>
                <w:rFonts w:ascii="游ゴシック" w:hAnsi="游ゴシック" w:eastAsia="游ゴシック" w:cs="游ゴシック"/>
                <w:b/>
                <w:sz w:val="19"/>
              </w:rPr>
              <w:t>役員</w:t>
            </w:r>
          </w:p>
        </w:tc>
      </w:tr>
      <w:tr>
        <w:tc>
          <w:tcPr>
            <w:tcW w:type="dxa" w:w="2353"/>
          </w:tcPr>
          <w:p>
            <w:r/>
            <w:r>
              <w:rPr>
                <w:rFonts w:ascii="游ゴシック" w:hAnsi="游ゴシック" w:eastAsia="游ゴシック" w:cs="游ゴシック"/>
                <w:sz w:val="19"/>
              </w:rPr>
            </w:r>
          </w:p>
        </w:tc>
        <w:tc>
          <w:tcPr>
            <w:tcW w:type="dxa" w:w="2353"/>
          </w:tcPr>
          <w:p>
            <w:r/>
            <w:r>
              <w:rPr>
                <w:rFonts w:ascii="游ゴシック" w:hAnsi="游ゴシック" w:eastAsia="游ゴシック" w:cs="游ゴシック"/>
                <w:sz w:val="19"/>
              </w:rPr>
            </w:r>
          </w:p>
        </w:tc>
        <w:tc>
          <w:tcPr>
            <w:tcW w:type="dxa" w:w="2353"/>
          </w:tcPr>
          <w:p>
            <w:r/>
            <w:r>
              <w:rPr>
                <w:rFonts w:ascii="游ゴシック" w:hAnsi="游ゴシック" w:eastAsia="游ゴシック" w:cs="游ゴシック"/>
                <w:sz w:val="19"/>
              </w:rPr>
            </w:r>
          </w:p>
        </w:tc>
        <w:tc>
          <w:tcPr>
            <w:tcW w:type="dxa" w:w="2353"/>
          </w:tcPr>
          <w:p>
            <w:r/>
            <w:r>
              <w:rPr>
                <w:rFonts w:ascii="游ゴシック" w:hAnsi="游ゴシック" w:eastAsia="游ゴシック" w:cs="游ゴシック"/>
                <w:sz w:val="19"/>
              </w:rPr>
            </w:r>
          </w:p>
        </w:tc>
      </w:tr>
    </w:tbl>
    <w:p/>
    <w:tbl>
      <w:tblPr>
        <w:tblStyle w:val="TableGrid"/>
        <w:tblW w:type="auto" w:w="0"/>
        <w:jc w:val="center"/>
        <w:tblLayout w:type="fixed"/>
        <w:tblLook w:firstColumn="1" w:firstRow="1" w:lastColumn="0" w:lastRow="0" w:noHBand="0" w:noVBand="1" w:val="04A0"/>
      </w:tblPr>
      <w:tblGrid>
        <w:gridCol w:w="2139"/>
        <w:gridCol w:w="2139"/>
        <w:gridCol w:w="5133"/>
      </w:tblGrid>
      <w:tr>
        <w:tc>
          <w:tcPr>
            <w:tcW w:type="dxa" w:w="2139"/>
            <w:shd w:val="clear" w:color="auto" w:fill="F3EEE6"/>
          </w:tcPr>
          <w:p>
            <w:r/>
            <w:r>
              <w:rPr>
                <w:rFonts w:ascii="游ゴシック" w:hAnsi="游ゴシック" w:eastAsia="游ゴシック" w:cs="游ゴシック"/>
                <w:b/>
                <w:sz w:val="19"/>
              </w:rPr>
              <w:t>合議（法務）</w:t>
            </w:r>
          </w:p>
        </w:tc>
        <w:tc>
          <w:tcPr>
            <w:tcW w:type="dxa" w:w="2139"/>
            <w:shd w:val="clear" w:color="auto" w:fill="F3EEE6"/>
          </w:tcPr>
          <w:p>
            <w:r/>
            <w:r>
              <w:rPr>
                <w:rFonts w:ascii="游ゴシック" w:hAnsi="游ゴシック" w:eastAsia="游ゴシック" w:cs="游ゴシック"/>
                <w:b/>
                <w:sz w:val="19"/>
              </w:rPr>
              <w:t>合議（情報システム）</w:t>
            </w:r>
          </w:p>
        </w:tc>
        <w:tc>
          <w:tcPr>
            <w:tcW w:type="dxa" w:w="5133"/>
            <w:shd w:val="clear" w:color="auto" w:fill="F3EEE6"/>
          </w:tcPr>
          <w:p>
            <w:r/>
            <w:r>
              <w:rPr>
                <w:rFonts w:ascii="游ゴシック" w:hAnsi="游ゴシック" w:eastAsia="游ゴシック" w:cs="游ゴシック"/>
                <w:b/>
                <w:sz w:val="19"/>
              </w:rPr>
              <w:t>添付資料</w:t>
            </w:r>
          </w:p>
        </w:tc>
      </w:tr>
      <w:tr>
        <w:tc>
          <w:tcPr>
            <w:tcW w:type="dxa" w:w="2139"/>
          </w:tcPr>
          <w:p>
            <w:r/>
            <w:r>
              <w:rPr>
                <w:rFonts w:ascii="游ゴシック" w:hAnsi="游ゴシック" w:eastAsia="游ゴシック" w:cs="游ゴシック"/>
                <w:sz w:val="19"/>
              </w:rPr>
            </w:r>
          </w:p>
        </w:tc>
        <w:tc>
          <w:tcPr>
            <w:tcW w:type="dxa" w:w="2139"/>
          </w:tcPr>
          <w:p>
            <w:r/>
            <w:r>
              <w:rPr>
                <w:rFonts w:ascii="游ゴシック" w:hAnsi="游ゴシック" w:eastAsia="游ゴシック" w:cs="游ゴシック"/>
                <w:sz w:val="19"/>
              </w:rPr>
            </w:r>
          </w:p>
        </w:tc>
        <w:tc>
          <w:tcPr>
            <w:tcW w:type="dxa" w:w="5133"/>
          </w:tcPr>
          <w:p>
            <w:r/>
            <w:r>
              <w:rPr>
                <w:rFonts w:ascii="游ゴシック" w:hAnsi="游ゴシック" w:eastAsia="游ゴシック" w:cs="游ゴシック"/>
                <w:color w:val="6B6459"/>
                <w:sz w:val="19"/>
              </w:rPr>
              <w:t>例）セキュリティ概要、DPA、再委託先一覧、評価画面のサンプル、周知文案</w:t>
            </w:r>
          </w:p>
        </w:tc>
      </w:tr>
    </w:tbl>
    <w:p/>
    <w:p>
      <w:pPr>
        <w:spacing w:before="320" w:after="80"/>
      </w:pPr>
      <w:r>
        <w:rPr>
          <w:rFonts w:ascii="游ゴシック" w:hAnsi="游ゴシック" w:eastAsia="游ゴシック" w:cs="游ゴシック"/>
          <w:b/>
          <w:color w:val="1A1720"/>
          <w:sz w:val="30"/>
        </w:rPr>
        <w:t>1. 稟議事項</w:t>
      </w:r>
    </w:p>
    <w:p>
      <w:r>
        <w:rPr>
          <w:rFonts w:ascii="游ゴシック" w:hAnsi="游ゴシック" w:eastAsia="游ゴシック" w:cs="游ゴシック"/>
          <w:i/>
          <w:color w:val="6B6459"/>
          <w:sz w:val="18"/>
        </w:rPr>
        <w:t>記入のポイント：決裁者がこの欄だけで判断できるように書きます。結論・依頼事項・費用・日程を先に。</w:t>
      </w:r>
    </w:p>
    <w:tbl>
      <w:tblPr>
        <w:tblStyle w:val="TableGrid"/>
        <w:tblW w:type="auto" w:w="0"/>
        <w:jc w:val="center"/>
        <w:tblLayout w:type="fixed"/>
        <w:tblLook w:firstColumn="1" w:firstRow="1" w:lastColumn="0" w:lastRow="0" w:noHBand="0" w:noVBand="1" w:val="04A0"/>
      </w:tblPr>
      <w:tblGrid>
        <w:gridCol w:w="2058"/>
        <w:gridCol w:w="7353"/>
      </w:tblGrid>
      <w:tr>
        <w:tc>
          <w:tcPr>
            <w:tcW w:type="dxa" w:w="2059"/>
            <w:shd w:val="clear" w:color="auto" w:fill="F3EEE6"/>
          </w:tcPr>
          <w:p>
            <w:r/>
            <w:r>
              <w:rPr>
                <w:rFonts w:ascii="游ゴシック" w:hAnsi="游ゴシック" w:eastAsia="游ゴシック" w:cs="游ゴシック"/>
                <w:b/>
                <w:sz w:val="19"/>
              </w:rPr>
              <w:t>項目</w:t>
            </w:r>
          </w:p>
        </w:tc>
        <w:tc>
          <w:tcPr>
            <w:tcW w:type="dxa" w:w="7352"/>
            <w:shd w:val="clear" w:color="auto" w:fill="F3EEE6"/>
          </w:tcPr>
          <w:p>
            <w:r/>
            <w:r>
              <w:rPr>
                <w:rFonts w:ascii="游ゴシック" w:hAnsi="游ゴシック" w:eastAsia="游ゴシック" w:cs="游ゴシック"/>
                <w:b/>
                <w:sz w:val="19"/>
              </w:rPr>
              <w:t>内容</w:t>
            </w:r>
          </w:p>
        </w:tc>
      </w:tr>
      <w:tr>
        <w:tc>
          <w:tcPr>
            <w:tcW w:type="dxa" w:w="2059"/>
          </w:tcPr>
          <w:p>
            <w:r/>
            <w:r>
              <w:rPr>
                <w:rFonts w:ascii="游ゴシック" w:hAnsi="游ゴシック" w:eastAsia="游ゴシック" w:cs="游ゴシック"/>
                <w:sz w:val="19"/>
              </w:rPr>
              <w:t>件名</w:t>
            </w:r>
          </w:p>
        </w:tc>
        <w:tc>
          <w:tcPr>
            <w:tcW w:type="dxa" w:w="7352"/>
          </w:tcPr>
          <w:p>
            <w:r/>
            <w:r>
              <w:rPr>
                <w:rFonts w:ascii="游ゴシック" w:hAnsi="游ゴシック" w:eastAsia="游ゴシック" w:cs="游ゴシック"/>
                <w:color w:val="6B6459"/>
                <w:sz w:val="19"/>
              </w:rPr>
              <w:t>例）業務記録にもとづく人事評価支援ツールの試験導入</w:t>
            </w:r>
          </w:p>
        </w:tc>
      </w:tr>
      <w:tr>
        <w:tc>
          <w:tcPr>
            <w:tcW w:type="dxa" w:w="2059"/>
          </w:tcPr>
          <w:p>
            <w:r/>
            <w:r>
              <w:rPr>
                <w:rFonts w:ascii="游ゴシック" w:hAnsi="游ゴシック" w:eastAsia="游ゴシック" w:cs="游ゴシック"/>
                <w:sz w:val="19"/>
              </w:rPr>
              <w:t>結論</w:t>
            </w:r>
          </w:p>
        </w:tc>
        <w:tc>
          <w:tcPr>
            <w:tcW w:type="dxa" w:w="7352"/>
          </w:tcPr>
          <w:p>
            <w:r/>
            <w:r>
              <w:rPr>
                <w:rFonts w:ascii="游ゴシック" w:hAnsi="游ゴシック" w:eastAsia="游ゴシック" w:cs="游ゴシック"/>
                <w:color w:val="6B6459"/>
                <w:sz w:val="19"/>
              </w:rPr>
              <w:t>例）2チームで下期の評価時期を含む約4か月間試験導入し、本格導入の可否を判断することを提案します</w:t>
            </w:r>
          </w:p>
        </w:tc>
      </w:tr>
      <w:tr>
        <w:tc>
          <w:tcPr>
            <w:tcW w:type="dxa" w:w="2059"/>
          </w:tcPr>
          <w:p>
            <w:r/>
            <w:r>
              <w:rPr>
                <w:rFonts w:ascii="游ゴシック" w:hAnsi="游ゴシック" w:eastAsia="游ゴシック" w:cs="游ゴシック"/>
                <w:sz w:val="19"/>
              </w:rPr>
              <w:t>決裁を求める事項</w:t>
            </w:r>
          </w:p>
        </w:tc>
        <w:tc>
          <w:tcPr>
            <w:tcW w:type="dxa" w:w="7352"/>
          </w:tcPr>
          <w:p>
            <w:r/>
            <w:r>
              <w:rPr>
                <w:rFonts w:ascii="游ゴシック" w:hAnsi="游ゴシック" w:eastAsia="游ゴシック" w:cs="游ゴシック"/>
                <w:color w:val="6B6459"/>
                <w:sz w:val="19"/>
              </w:rPr>
              <w:t>例）試験導入の承認、労働組合（または過半数代表者）への説明、委託先のセキュリティ審査の開始</w:t>
            </w:r>
          </w:p>
        </w:tc>
      </w:tr>
      <w:tr>
        <w:tc>
          <w:tcPr>
            <w:tcW w:type="dxa" w:w="2059"/>
          </w:tcPr>
          <w:p>
            <w:r/>
            <w:r>
              <w:rPr>
                <w:rFonts w:ascii="游ゴシック" w:hAnsi="游ゴシック" w:eastAsia="游ゴシック" w:cs="游ゴシック"/>
                <w:sz w:val="19"/>
              </w:rPr>
              <w:t>費用</w:t>
            </w:r>
          </w:p>
        </w:tc>
        <w:tc>
          <w:tcPr>
            <w:tcW w:type="dxa" w:w="7352"/>
          </w:tcPr>
          <w:p>
            <w:r/>
            <w:r>
              <w:rPr>
                <w:rFonts w:ascii="游ゴシック" w:hAnsi="游ゴシック" w:eastAsia="游ゴシック" w:cs="游ゴシック"/>
                <w:color w:val="6B6459"/>
                <w:sz w:val="19"/>
              </w:rPr>
              <w:t>例）試験導入期間 月額○○円（対象○○名）</w:t>
            </w:r>
          </w:p>
        </w:tc>
      </w:tr>
      <w:tr>
        <w:tc>
          <w:tcPr>
            <w:tcW w:type="dxa" w:w="2059"/>
          </w:tcPr>
          <w:p>
            <w:r/>
            <w:r>
              <w:rPr>
                <w:rFonts w:ascii="游ゴシック" w:hAnsi="游ゴシック" w:eastAsia="游ゴシック" w:cs="游ゴシック"/>
                <w:sz w:val="19"/>
              </w:rPr>
              <w:t>日程</w:t>
            </w:r>
          </w:p>
        </w:tc>
        <w:tc>
          <w:tcPr>
            <w:tcW w:type="dxa" w:w="7352"/>
          </w:tcPr>
          <w:p>
            <w:r/>
            <w:r>
              <w:rPr>
                <w:rFonts w:ascii="游ゴシック" w:hAnsi="游ゴシック" w:eastAsia="游ゴシック" w:cs="游ゴシック"/>
                <w:color w:val="6B6459"/>
                <w:sz w:val="19"/>
              </w:rPr>
              <w:t>例）12月 説明・契約 → 1月〜3月 試験運用 → 4月 下期評価で検証 → 5月 本格導入の判断</w:t>
            </w:r>
          </w:p>
        </w:tc>
      </w:tr>
      <w:tr>
        <w:tc>
          <w:tcPr>
            <w:tcW w:type="dxa" w:w="2059"/>
          </w:tcPr>
          <w:p>
            <w:r/>
            <w:r>
              <w:rPr>
                <w:rFonts w:ascii="游ゴシック" w:hAnsi="游ゴシック" w:eastAsia="游ゴシック" w:cs="游ゴシック"/>
                <w:sz w:val="19"/>
              </w:rPr>
              <w:t>期待する効果</w:t>
            </w:r>
          </w:p>
        </w:tc>
        <w:tc>
          <w:tcPr>
            <w:tcW w:type="dxa" w:w="7352"/>
          </w:tcPr>
          <w:p>
            <w:r/>
            <w:r>
              <w:rPr>
                <w:rFonts w:ascii="游ゴシック" w:hAnsi="游ゴシック" w:eastAsia="游ゴシック" w:cs="游ゴシック"/>
                <w:color w:val="6B6459"/>
                <w:sz w:val="19"/>
              </w:rPr>
              <w:t>例）根拠のある評価項目の割合 ○%→○%、評価者の評価記入時間 ○時間→○時間</w:t>
            </w:r>
          </w:p>
        </w:tc>
      </w:tr>
    </w:tbl>
    <w:p/>
    <w:p>
      <w:pPr>
        <w:spacing w:before="320" w:after="80"/>
      </w:pPr>
      <w:r>
        <w:rPr>
          <w:rFonts w:ascii="游ゴシック" w:hAnsi="游ゴシック" w:eastAsia="游ゴシック" w:cs="游ゴシック"/>
          <w:b/>
          <w:color w:val="1A1720"/>
          <w:sz w:val="30"/>
        </w:rPr>
        <w:t>2. 背景と現状の課題</w:t>
      </w:r>
    </w:p>
    <w:p>
      <w:pPr>
        <w:spacing w:before="200" w:after="80"/>
      </w:pPr>
      <w:r>
        <w:rPr>
          <w:rFonts w:ascii="游ゴシック" w:hAnsi="游ゴシック" w:eastAsia="游ゴシック" w:cs="游ゴシック"/>
          <w:b/>
          <w:color w:val="1A1720"/>
          <w:sz w:val="24"/>
        </w:rPr>
        <w:t>2-1. 検討の経緯</w:t>
      </w:r>
    </w:p>
    <w:p>
      <w:r>
        <w:rPr>
          <w:rFonts w:ascii="游ゴシック" w:hAnsi="游ゴシック" w:eastAsia="游ゴシック" w:cs="游ゴシック"/>
          <w:i/>
          <w:color w:val="6B6459"/>
          <w:sz w:val="18"/>
        </w:rPr>
        <w:t>記入のポイント：誰から、いつ、何を検討するよう指示があったかを1〜2行で。</w:t>
      </w:r>
    </w:p>
    <w:p>
      <w:r>
        <w:rPr>
          <w:rFonts w:ascii="游ゴシック" w:hAnsi="游ゴシック" w:eastAsia="游ゴシック" w:cs="游ゴシック"/>
          <w:sz w:val="20"/>
        </w:rPr>
      </w:r>
    </w:p>
    <w:p>
      <w:pPr>
        <w:spacing w:before="200" w:after="80"/>
      </w:pPr>
      <w:r>
        <w:rPr>
          <w:rFonts w:ascii="游ゴシック" w:hAnsi="游ゴシック" w:eastAsia="游ゴシック" w:cs="游ゴシック"/>
          <w:b/>
          <w:color w:val="1A1720"/>
          <w:sz w:val="24"/>
        </w:rPr>
        <w:t>2-2. 現在の評価制度の課題</w:t>
      </w:r>
    </w:p>
    <w:p>
      <w:r>
        <w:rPr>
          <w:rFonts w:ascii="游ゴシック" w:hAnsi="游ゴシック" w:eastAsia="游ゴシック" w:cs="游ゴシック"/>
          <w:i/>
          <w:color w:val="6B6459"/>
          <w:sz w:val="18"/>
        </w:rPr>
        <w:t>記入のポイント：印象ではなく数字で。社内の数字がもっとも説得力があり、足りなければ外部の調査を添えます。</w:t>
      </w:r>
    </w:p>
    <w:tbl>
      <w:tblPr>
        <w:tblStyle w:val="TableGrid"/>
        <w:tblW w:type="auto" w:w="0"/>
        <w:jc w:val="center"/>
        <w:tblLayout w:type="fixed"/>
        <w:tblLook w:firstColumn="1" w:firstRow="1" w:lastColumn="0" w:lastRow="0" w:noHBand="0" w:noVBand="1" w:val="04A0"/>
      </w:tblPr>
      <w:tblGrid>
        <w:gridCol w:w="2941"/>
        <w:gridCol w:w="2353"/>
        <w:gridCol w:w="4117"/>
      </w:tblGrid>
      <w:tr>
        <w:tc>
          <w:tcPr>
            <w:tcW w:type="dxa" w:w="2941"/>
            <w:shd w:val="clear" w:color="auto" w:fill="F3EEE6"/>
          </w:tcPr>
          <w:p>
            <w:r/>
            <w:r>
              <w:rPr>
                <w:rFonts w:ascii="游ゴシック" w:hAnsi="游ゴシック" w:eastAsia="游ゴシック" w:cs="游ゴシック"/>
                <w:b/>
                <w:sz w:val="19"/>
              </w:rPr>
              <w:t>指標</w:t>
            </w:r>
          </w:p>
        </w:tc>
        <w:tc>
          <w:tcPr>
            <w:tcW w:type="dxa" w:w="2353"/>
            <w:shd w:val="clear" w:color="auto" w:fill="F3EEE6"/>
          </w:tcPr>
          <w:p>
            <w:r/>
            <w:r>
              <w:rPr>
                <w:rFonts w:ascii="游ゴシック" w:hAnsi="游ゴシック" w:eastAsia="游ゴシック" w:cs="游ゴシック"/>
                <w:b/>
                <w:sz w:val="19"/>
              </w:rPr>
              <w:t>現状</w:t>
            </w:r>
          </w:p>
        </w:tc>
        <w:tc>
          <w:tcPr>
            <w:tcW w:type="dxa" w:w="4117"/>
            <w:shd w:val="clear" w:color="auto" w:fill="F3EEE6"/>
          </w:tcPr>
          <w:p>
            <w:r/>
            <w:r>
              <w:rPr>
                <w:rFonts w:ascii="游ゴシック" w:hAnsi="游ゴシック" w:eastAsia="游ゴシック" w:cs="游ゴシック"/>
                <w:b/>
                <w:sz w:val="19"/>
              </w:rPr>
              <w:t>出典・算出方法</w:t>
            </w:r>
          </w:p>
        </w:tc>
      </w:tr>
      <w:tr>
        <w:tc>
          <w:tcPr>
            <w:tcW w:type="dxa" w:w="2941"/>
          </w:tcPr>
          <w:p>
            <w:r/>
            <w:r>
              <w:rPr>
                <w:rFonts w:ascii="游ゴシック" w:hAnsi="游ゴシック" w:eastAsia="游ゴシック" w:cs="游ゴシック"/>
                <w:sz w:val="19"/>
              </w:rPr>
              <w:t>評語の分布（B以上の割合）</w:t>
            </w:r>
          </w:p>
        </w:tc>
        <w:tc>
          <w:tcPr>
            <w:tcW w:type="dxa" w:w="2353"/>
          </w:tcPr>
          <w:p>
            <w:r/>
            <w:r>
              <w:rPr>
                <w:rFonts w:ascii="游ゴシック" w:hAnsi="游ゴシック" w:eastAsia="游ゴシック" w:cs="游ゴシック"/>
                <w:color w:val="6B6459"/>
                <w:sz w:val="19"/>
              </w:rPr>
              <w:t>例）87%</w:t>
            </w:r>
          </w:p>
        </w:tc>
        <w:tc>
          <w:tcPr>
            <w:tcW w:type="dxa" w:w="4117"/>
          </w:tcPr>
          <w:p>
            <w:r/>
            <w:r>
              <w:rPr>
                <w:rFonts w:ascii="游ゴシック" w:hAnsi="游ゴシック" w:eastAsia="游ゴシック" w:cs="游ゴシック"/>
                <w:color w:val="6B6459"/>
                <w:sz w:val="19"/>
              </w:rPr>
              <w:t>例）2026年度上期の評価結果</w:t>
            </w:r>
          </w:p>
        </w:tc>
      </w:tr>
      <w:tr>
        <w:tc>
          <w:tcPr>
            <w:tcW w:type="dxa" w:w="2941"/>
          </w:tcPr>
          <w:p>
            <w:r/>
            <w:r>
              <w:rPr>
                <w:rFonts w:ascii="游ゴシック" w:hAnsi="游ゴシック" w:eastAsia="游ゴシック" w:cs="游ゴシック"/>
                <w:sz w:val="19"/>
              </w:rPr>
              <w:t>評価者ごとの平均点の差</w:t>
            </w:r>
          </w:p>
        </w:tc>
        <w:tc>
          <w:tcPr>
            <w:tcW w:type="dxa" w:w="2353"/>
          </w:tcPr>
          <w:p>
            <w:r/>
            <w:r>
              <w:rPr>
                <w:rFonts w:ascii="游ゴシック" w:hAnsi="游ゴシック" w:eastAsia="游ゴシック" w:cs="游ゴシック"/>
                <w:color w:val="6B6459"/>
                <w:sz w:val="19"/>
              </w:rPr>
              <w:t>例）評価者間で最大0.9点</w:t>
            </w:r>
          </w:p>
        </w:tc>
        <w:tc>
          <w:tcPr>
            <w:tcW w:type="dxa" w:w="4117"/>
          </w:tcPr>
          <w:p>
            <w:r/>
            <w:r>
              <w:rPr>
                <w:rFonts w:ascii="游ゴシック" w:hAnsi="游ゴシック" w:eastAsia="游ゴシック" w:cs="游ゴシック"/>
                <w:color w:val="6B6459"/>
                <w:sz w:val="19"/>
              </w:rPr>
              <w:t>例）評価者別の平均を比較</w:t>
            </w:r>
          </w:p>
        </w:tc>
      </w:tr>
      <w:tr>
        <w:tc>
          <w:tcPr>
            <w:tcW w:type="dxa" w:w="2941"/>
          </w:tcPr>
          <w:p>
            <w:r/>
            <w:r>
              <w:rPr>
                <w:rFonts w:ascii="游ゴシック" w:hAnsi="游ゴシック" w:eastAsia="游ゴシック" w:cs="游ゴシック"/>
                <w:sz w:val="19"/>
              </w:rPr>
              <w:t>評価の時期の作業時間</w:t>
            </w:r>
          </w:p>
        </w:tc>
        <w:tc>
          <w:tcPr>
            <w:tcW w:type="dxa" w:w="2353"/>
          </w:tcPr>
          <w:p>
            <w:r/>
            <w:r>
              <w:rPr>
                <w:rFonts w:ascii="游ゴシック" w:hAnsi="游ゴシック" w:eastAsia="游ゴシック" w:cs="游ゴシック"/>
                <w:color w:val="6B6459"/>
                <w:sz w:val="19"/>
              </w:rPr>
              <w:t>例）評価者1人あたり○時間</w:t>
            </w:r>
          </w:p>
        </w:tc>
        <w:tc>
          <w:tcPr>
            <w:tcW w:type="dxa" w:w="4117"/>
          </w:tcPr>
          <w:p>
            <w:r/>
            <w:r>
              <w:rPr>
                <w:rFonts w:ascii="游ゴシック" w:hAnsi="游ゴシック" w:eastAsia="游ゴシック" w:cs="游ゴシック"/>
                <w:color w:val="6B6459"/>
                <w:sz w:val="19"/>
              </w:rPr>
              <w:t>例）評価者アンケート</w:t>
            </w:r>
          </w:p>
        </w:tc>
      </w:tr>
      <w:tr>
        <w:tc>
          <w:tcPr>
            <w:tcW w:type="dxa" w:w="2941"/>
          </w:tcPr>
          <w:p>
            <w:r/>
            <w:r>
              <w:rPr>
                <w:rFonts w:ascii="游ゴシック" w:hAnsi="游ゴシック" w:eastAsia="游ゴシック" w:cs="游ゴシック"/>
                <w:sz w:val="19"/>
              </w:rPr>
              <w:t>評価結果への不満・異議</w:t>
            </w:r>
          </w:p>
        </w:tc>
        <w:tc>
          <w:tcPr>
            <w:tcW w:type="dxa" w:w="2353"/>
          </w:tcPr>
          <w:p>
            <w:r/>
            <w:r>
              <w:rPr>
                <w:rFonts w:ascii="游ゴシック" w:hAnsi="游ゴシック" w:eastAsia="游ゴシック" w:cs="游ゴシック"/>
                <w:color w:val="6B6459"/>
                <w:sz w:val="19"/>
              </w:rPr>
              <w:t>例）○件</w:t>
            </w:r>
          </w:p>
        </w:tc>
        <w:tc>
          <w:tcPr>
            <w:tcW w:type="dxa" w:w="4117"/>
          </w:tcPr>
          <w:p>
            <w:r/>
            <w:r>
              <w:rPr>
                <w:rFonts w:ascii="游ゴシック" w:hAnsi="游ゴシック" w:eastAsia="游ゴシック" w:cs="游ゴシック"/>
                <w:color w:val="6B6459"/>
                <w:sz w:val="19"/>
              </w:rPr>
              <w:t>例）相談窓口・面談記録</w:t>
            </w:r>
          </w:p>
        </w:tc>
      </w:tr>
      <w:tr>
        <w:tc>
          <w:tcPr>
            <w:tcW w:type="dxa" w:w="2941"/>
          </w:tcPr>
          <w:p>
            <w:r/>
            <w:r>
              <w:rPr>
                <w:rFonts w:ascii="游ゴシック" w:hAnsi="游ゴシック" w:eastAsia="游ゴシック" w:cs="游ゴシック"/>
                <w:sz w:val="19"/>
              </w:rPr>
              <w:t>評価者による基準のばらつき</w:t>
            </w:r>
          </w:p>
        </w:tc>
        <w:tc>
          <w:tcPr>
            <w:tcW w:type="dxa" w:w="2353"/>
          </w:tcPr>
          <w:p>
            <w:r/>
            <w:r>
              <w:rPr>
                <w:rFonts w:ascii="游ゴシック" w:hAnsi="游ゴシック" w:eastAsia="游ゴシック" w:cs="游ゴシック"/>
                <w:color w:val="6B6459"/>
                <w:sz w:val="19"/>
              </w:rPr>
              <w:t>例）社内アンケートで○%</w:t>
            </w:r>
          </w:p>
        </w:tc>
        <w:tc>
          <w:tcPr>
            <w:tcW w:type="dxa" w:w="4117"/>
          </w:tcPr>
          <w:p>
            <w:r/>
            <w:r>
              <w:rPr>
                <w:rFonts w:ascii="游ゴシック" w:hAnsi="游ゴシック" w:eastAsia="游ゴシック" w:cs="游ゴシック"/>
                <w:color w:val="6B6459"/>
                <w:sz w:val="19"/>
              </w:rPr>
              <w:t>例）参考：回答した人事担当者の67.7%が課題に挙げる（日本の人事部『人事白書2025』）</w:t>
            </w:r>
          </w:p>
        </w:tc>
      </w:tr>
      <w:tr>
        <w:tc>
          <w:tcPr>
            <w:tcW w:type="dxa" w:w="2941"/>
          </w:tcPr>
          <w:p>
            <w:r/>
            <w:r>
              <w:rPr>
                <w:rFonts w:ascii="游ゴシック" w:hAnsi="游ゴシック" w:eastAsia="游ゴシック" w:cs="游ゴシック"/>
                <w:sz w:val="19"/>
              </w:rPr>
              <w:t>不利益な処分時の根拠記録</w:t>
            </w:r>
          </w:p>
        </w:tc>
        <w:tc>
          <w:tcPr>
            <w:tcW w:type="dxa" w:w="2353"/>
          </w:tcPr>
          <w:p>
            <w:r/>
            <w:r>
              <w:rPr>
                <w:rFonts w:ascii="游ゴシック" w:hAnsi="游ゴシック" w:eastAsia="游ゴシック" w:cs="游ゴシック"/>
                <w:color w:val="6B6459"/>
                <w:sz w:val="19"/>
              </w:rPr>
              <w:t>例）なし／一部</w:t>
            </w:r>
          </w:p>
        </w:tc>
        <w:tc>
          <w:tcPr>
            <w:tcW w:type="dxa" w:w="4117"/>
          </w:tcPr>
          <w:p>
            <w:r/>
            <w:r>
              <w:rPr>
                <w:rFonts w:ascii="游ゴシック" w:hAnsi="游ゴシック" w:eastAsia="游ゴシック" w:cs="游ゴシック"/>
                <w:color w:val="6B6459"/>
                <w:sz w:val="19"/>
              </w:rPr>
              <w:t>例）直近の事例を確認</w:t>
            </w:r>
          </w:p>
        </w:tc>
      </w:tr>
    </w:tbl>
    <w:p/>
    <w:p>
      <w:pPr>
        <w:spacing w:before="320" w:after="80"/>
      </w:pPr>
      <w:r>
        <w:rPr>
          <w:rFonts w:ascii="游ゴシック" w:hAnsi="游ゴシック" w:eastAsia="游ゴシック" w:cs="游ゴシック"/>
          <w:b/>
          <w:color w:val="1A1720"/>
          <w:sz w:val="30"/>
        </w:rPr>
        <w:t>3. AIが担う作業と、人が引き続き判断すること</w:t>
      </w:r>
    </w:p>
    <w:p>
      <w:r>
        <w:rPr>
          <w:rFonts w:ascii="游ゴシック" w:hAnsi="游ゴシック" w:eastAsia="游ゴシック" w:cs="游ゴシック"/>
          <w:i/>
          <w:color w:val="6B6459"/>
          <w:sz w:val="18"/>
        </w:rPr>
        <w:t>記入のポイント：「AIが評価する」のではなく、どの作業を分けるのかを表で示します。決裁者が最初に確認する点です。参考：経団連「HR部門におけるAI等の活用に関する報告書」（2026年4月）は、HR部門のAIを「人間の意思決定のサポート」と位置づけています。</w:t>
      </w:r>
    </w:p>
    <w:tbl>
      <w:tblPr>
        <w:tblStyle w:val="TableGrid"/>
        <w:tblW w:type="auto" w:w="0"/>
        <w:jc w:val="center"/>
        <w:tblLayout w:type="fixed"/>
        <w:tblLook w:firstColumn="1" w:firstRow="1" w:lastColumn="0" w:lastRow="0" w:noHBand="0" w:noVBand="1" w:val="04A0"/>
      </w:tblPr>
      <w:tblGrid>
        <w:gridCol w:w="1764"/>
        <w:gridCol w:w="2353"/>
        <w:gridCol w:w="2941"/>
        <w:gridCol w:w="2353"/>
      </w:tblGrid>
      <w:tr>
        <w:tc>
          <w:tcPr>
            <w:tcW w:type="dxa" w:w="1765"/>
            <w:shd w:val="clear" w:color="auto" w:fill="F3EEE6"/>
          </w:tcPr>
          <w:p>
            <w:r/>
            <w:r>
              <w:rPr>
                <w:rFonts w:ascii="游ゴシック" w:hAnsi="游ゴシック" w:eastAsia="游ゴシック" w:cs="游ゴシック"/>
                <w:b/>
                <w:sz w:val="19"/>
              </w:rPr>
              <w:t>作業</w:t>
            </w:r>
          </w:p>
        </w:tc>
        <w:tc>
          <w:tcPr>
            <w:tcW w:type="dxa" w:w="2353"/>
            <w:shd w:val="clear" w:color="auto" w:fill="F3EEE6"/>
          </w:tcPr>
          <w:p>
            <w:r/>
            <w:r>
              <w:rPr>
                <w:rFonts w:ascii="游ゴシック" w:hAnsi="游ゴシック" w:eastAsia="游ゴシック" w:cs="游ゴシック"/>
                <w:b/>
                <w:sz w:val="19"/>
              </w:rPr>
              <w:t>現在</w:t>
            </w:r>
          </w:p>
        </w:tc>
        <w:tc>
          <w:tcPr>
            <w:tcW w:type="dxa" w:w="2941"/>
            <w:shd w:val="clear" w:color="auto" w:fill="F3EEE6"/>
          </w:tcPr>
          <w:p>
            <w:r/>
            <w:r>
              <w:rPr>
                <w:rFonts w:ascii="游ゴシック" w:hAnsi="游ゴシック" w:eastAsia="游ゴシック" w:cs="游ゴシック"/>
                <w:b/>
                <w:sz w:val="19"/>
              </w:rPr>
              <w:t>導入後</w:t>
            </w:r>
          </w:p>
        </w:tc>
        <w:tc>
          <w:tcPr>
            <w:tcW w:type="dxa" w:w="2353"/>
            <w:shd w:val="clear" w:color="auto" w:fill="F3EEE6"/>
          </w:tcPr>
          <w:p>
            <w:r/>
            <w:r>
              <w:rPr>
                <w:rFonts w:ascii="游ゴシック" w:hAnsi="游ゴシック" w:eastAsia="游ゴシック" w:cs="游ゴシック"/>
                <w:b/>
                <w:sz w:val="19"/>
              </w:rPr>
              <w:t>人が引き続き行うこと</w:t>
            </w:r>
          </w:p>
        </w:tc>
      </w:tr>
      <w:tr>
        <w:tc>
          <w:tcPr>
            <w:tcW w:type="dxa" w:w="1765"/>
          </w:tcPr>
          <w:p>
            <w:r/>
            <w:r>
              <w:rPr>
                <w:rFonts w:ascii="游ゴシック" w:hAnsi="游ゴシック" w:eastAsia="游ゴシック" w:cs="游ゴシック"/>
                <w:sz w:val="19"/>
              </w:rPr>
              <w:t>根拠集め</w:t>
            </w:r>
          </w:p>
        </w:tc>
        <w:tc>
          <w:tcPr>
            <w:tcW w:type="dxa" w:w="2353"/>
          </w:tcPr>
          <w:p>
            <w:r/>
            <w:r>
              <w:rPr>
                <w:rFonts w:ascii="游ゴシック" w:hAnsi="游ゴシック" w:eastAsia="游ゴシック" w:cs="游ゴシック"/>
                <w:color w:val="6B6459"/>
                <w:sz w:val="19"/>
              </w:rPr>
              <w:t>例）評価の時期に記憶で</w:t>
            </w:r>
          </w:p>
        </w:tc>
        <w:tc>
          <w:tcPr>
            <w:tcW w:type="dxa" w:w="2941"/>
          </w:tcPr>
          <w:p>
            <w:r/>
            <w:r>
              <w:rPr>
                <w:rFonts w:ascii="游ゴシック" w:hAnsi="游ゴシック" w:eastAsia="游ゴシック" w:cs="游ゴシック"/>
                <w:color w:val="6B6459"/>
                <w:sz w:val="19"/>
              </w:rPr>
              <w:t>例）業務ツールの記録から基準ごとに根拠を集める</w:t>
            </w:r>
          </w:p>
        </w:tc>
        <w:tc>
          <w:tcPr>
            <w:tcW w:type="dxa" w:w="2353"/>
          </w:tcPr>
          <w:p>
            <w:r/>
            <w:r>
              <w:rPr>
                <w:rFonts w:ascii="游ゴシック" w:hAnsi="游ゴシック" w:eastAsia="游ゴシック" w:cs="游ゴシック"/>
                <w:color w:val="6B6459"/>
                <w:sz w:val="19"/>
              </w:rPr>
              <w:t>例）根拠が正しいか確認</w:t>
            </w:r>
          </w:p>
        </w:tc>
      </w:tr>
      <w:tr>
        <w:tc>
          <w:tcPr>
            <w:tcW w:type="dxa" w:w="1765"/>
          </w:tcPr>
          <w:p>
            <w:r/>
            <w:r>
              <w:rPr>
                <w:rFonts w:ascii="游ゴシック" w:hAnsi="游ゴシック" w:eastAsia="游ゴシック" w:cs="游ゴシック"/>
                <w:sz w:val="19"/>
              </w:rPr>
              <w:t>評価コメントの下書き</w:t>
            </w:r>
          </w:p>
        </w:tc>
        <w:tc>
          <w:tcPr>
            <w:tcW w:type="dxa" w:w="2353"/>
          </w:tcPr>
          <w:p>
            <w:r/>
            <w:r>
              <w:rPr>
                <w:rFonts w:ascii="游ゴシック" w:hAnsi="游ゴシック" w:eastAsia="游ゴシック" w:cs="游ゴシック"/>
                <w:color w:val="6B6459"/>
                <w:sz w:val="19"/>
              </w:rPr>
              <w:t>例）評価者が白紙から作成</w:t>
            </w:r>
          </w:p>
        </w:tc>
        <w:tc>
          <w:tcPr>
            <w:tcW w:type="dxa" w:w="2941"/>
          </w:tcPr>
          <w:p>
            <w:r/>
            <w:r>
              <w:rPr>
                <w:rFonts w:ascii="游ゴシック" w:hAnsi="游ゴシック" w:eastAsia="游ゴシック" w:cs="游ゴシック"/>
                <w:color w:val="6B6459"/>
                <w:sz w:val="19"/>
              </w:rPr>
              <w:t>例）根拠つきの下書き</w:t>
            </w:r>
          </w:p>
        </w:tc>
        <w:tc>
          <w:tcPr>
            <w:tcW w:type="dxa" w:w="2353"/>
          </w:tcPr>
          <w:p>
            <w:r/>
            <w:r>
              <w:rPr>
                <w:rFonts w:ascii="游ゴシック" w:hAnsi="游ゴシック" w:eastAsia="游ゴシック" w:cs="游ゴシック"/>
                <w:color w:val="6B6459"/>
                <w:sz w:val="19"/>
              </w:rPr>
              <w:t>例）修正して確定</w:t>
            </w:r>
          </w:p>
        </w:tc>
      </w:tr>
      <w:tr>
        <w:tc>
          <w:tcPr>
            <w:tcW w:type="dxa" w:w="1765"/>
          </w:tcPr>
          <w:p>
            <w:r/>
            <w:r>
              <w:rPr>
                <w:rFonts w:ascii="游ゴシック" w:hAnsi="游ゴシック" w:eastAsia="游ゴシック" w:cs="游ゴシック"/>
                <w:sz w:val="19"/>
              </w:rPr>
              <w:t>評語・処遇の決定</w:t>
            </w:r>
          </w:p>
        </w:tc>
        <w:tc>
          <w:tcPr>
            <w:tcW w:type="dxa" w:w="2353"/>
          </w:tcPr>
          <w:p>
            <w:r/>
            <w:r>
              <w:rPr>
                <w:rFonts w:ascii="游ゴシック" w:hAnsi="游ゴシック" w:eastAsia="游ゴシック" w:cs="游ゴシック"/>
                <w:color w:val="6B6459"/>
                <w:sz w:val="19"/>
              </w:rPr>
              <w:t>例）評価者・部長</w:t>
            </w:r>
          </w:p>
        </w:tc>
        <w:tc>
          <w:tcPr>
            <w:tcW w:type="dxa" w:w="2941"/>
          </w:tcPr>
          <w:p>
            <w:r/>
            <w:r>
              <w:rPr>
                <w:rFonts w:ascii="游ゴシック" w:hAnsi="游ゴシック" w:eastAsia="游ゴシック" w:cs="游ゴシック"/>
                <w:color w:val="6B6459"/>
                <w:sz w:val="19"/>
              </w:rPr>
              <w:t>例）変わらない</w:t>
            </w:r>
          </w:p>
        </w:tc>
        <w:tc>
          <w:tcPr>
            <w:tcW w:type="dxa" w:w="2353"/>
          </w:tcPr>
          <w:p>
            <w:r/>
            <w:r>
              <w:rPr>
                <w:rFonts w:ascii="游ゴシック" w:hAnsi="游ゴシック" w:eastAsia="游ゴシック" w:cs="游ゴシック"/>
                <w:color w:val="6B6459"/>
                <w:sz w:val="19"/>
              </w:rPr>
              <w:t>例）評価者・部長が決定</w:t>
            </w:r>
          </w:p>
        </w:tc>
      </w:tr>
      <w:tr>
        <w:tc>
          <w:tcPr>
            <w:tcW w:type="dxa" w:w="1765"/>
          </w:tcPr>
          <w:p>
            <w:r/>
            <w:r>
              <w:rPr>
                <w:rFonts w:ascii="游ゴシック" w:hAnsi="游ゴシック" w:eastAsia="游ゴシック" w:cs="游ゴシック"/>
                <w:sz w:val="19"/>
              </w:rPr>
              <w:t>面談の準備</w:t>
            </w:r>
          </w:p>
        </w:tc>
        <w:tc>
          <w:tcPr>
            <w:tcW w:type="dxa" w:w="2353"/>
          </w:tcPr>
          <w:p>
            <w:r/>
            <w:r>
              <w:rPr>
                <w:rFonts w:ascii="游ゴシック" w:hAnsi="游ゴシック" w:eastAsia="游ゴシック" w:cs="游ゴシック"/>
                <w:color w:val="6B6459"/>
                <w:sz w:val="19"/>
              </w:rPr>
              <w:t>例）特になし</w:t>
            </w:r>
          </w:p>
        </w:tc>
        <w:tc>
          <w:tcPr>
            <w:tcW w:type="dxa" w:w="2941"/>
          </w:tcPr>
          <w:p>
            <w:r/>
            <w:r>
              <w:rPr>
                <w:rFonts w:ascii="游ゴシック" w:hAnsi="游ゴシック" w:eastAsia="游ゴシック" w:cs="游ゴシック"/>
                <w:color w:val="6B6459"/>
                <w:sz w:val="19"/>
              </w:rPr>
              <w:t>例）面談での確認事項の提案</w:t>
            </w:r>
          </w:p>
        </w:tc>
        <w:tc>
          <w:tcPr>
            <w:tcW w:type="dxa" w:w="2353"/>
          </w:tcPr>
          <w:p>
            <w:r/>
            <w:r>
              <w:rPr>
                <w:rFonts w:ascii="游ゴシック" w:hAnsi="游ゴシック" w:eastAsia="游ゴシック" w:cs="游ゴシック"/>
                <w:color w:val="6B6459"/>
                <w:sz w:val="19"/>
              </w:rPr>
              <w:t>例）面談を行う</w:t>
            </w:r>
          </w:p>
        </w:tc>
      </w:tr>
    </w:tbl>
    <w:p/>
    <w:p>
      <w:pPr>
        <w:spacing w:before="320" w:after="80"/>
      </w:pPr>
      <w:r>
        <w:rPr>
          <w:rFonts w:ascii="游ゴシック" w:hAnsi="游ゴシック" w:eastAsia="游ゴシック" w:cs="游ゴシック"/>
          <w:b/>
          <w:color w:val="1A1720"/>
          <w:sz w:val="30"/>
        </w:rPr>
        <w:t>4. 比較検討</w:t>
      </w:r>
    </w:p>
    <w:p>
      <w:r>
        <w:rPr>
          <w:rFonts w:ascii="游ゴシック" w:hAnsi="游ゴシック" w:eastAsia="游ゴシック" w:cs="游ゴシック"/>
          <w:i/>
          <w:color w:val="6B6459"/>
          <w:sz w:val="18"/>
        </w:rPr>
        <w:t>記入のポイント：少なくとも3案を同じ基準で比較します。製品名より方式で分けると判断しやすくなります。</w:t>
      </w:r>
    </w:p>
    <w:tbl>
      <w:tblPr>
        <w:tblStyle w:val="TableGrid"/>
        <w:tblW w:type="auto" w:w="0"/>
        <w:jc w:val="center"/>
        <w:tblLayout w:type="fixed"/>
        <w:tblLook w:firstColumn="1" w:firstRow="1" w:lastColumn="0" w:lastRow="0" w:noHBand="0" w:noVBand="1" w:val="04A0"/>
      </w:tblPr>
      <w:tblGrid>
        <w:gridCol w:w="2941"/>
        <w:gridCol w:w="2176"/>
        <w:gridCol w:w="2176"/>
        <w:gridCol w:w="2117"/>
      </w:tblGrid>
      <w:tr>
        <w:tc>
          <w:tcPr>
            <w:tcW w:type="dxa" w:w="2941"/>
            <w:shd w:val="clear" w:color="auto" w:fill="F3EEE6"/>
          </w:tcPr>
          <w:p>
            <w:r/>
            <w:r>
              <w:rPr>
                <w:rFonts w:ascii="游ゴシック" w:hAnsi="游ゴシック" w:eastAsia="游ゴシック" w:cs="游ゴシック"/>
                <w:b/>
                <w:sz w:val="19"/>
              </w:rPr>
              <w:t>基準</w:t>
            </w:r>
          </w:p>
        </w:tc>
        <w:tc>
          <w:tcPr>
            <w:tcW w:type="dxa" w:w="2176"/>
            <w:shd w:val="clear" w:color="auto" w:fill="F3EEE6"/>
          </w:tcPr>
          <w:p>
            <w:r/>
            <w:r>
              <w:rPr>
                <w:rFonts w:ascii="游ゴシック" w:hAnsi="游ゴシック" w:eastAsia="游ゴシック" w:cs="游ゴシック"/>
                <w:b/>
                <w:sz w:val="19"/>
              </w:rPr>
              <w:t>A. 現行のまま（Excel等）</w:t>
            </w:r>
          </w:p>
        </w:tc>
        <w:tc>
          <w:tcPr>
            <w:tcW w:type="dxa" w:w="2176"/>
            <w:shd w:val="clear" w:color="auto" w:fill="F3EEE6"/>
          </w:tcPr>
          <w:p>
            <w:r/>
            <w:r>
              <w:rPr>
                <w:rFonts w:ascii="游ゴシック" w:hAnsi="游ゴシック" w:eastAsia="游ゴシック" w:cs="游ゴシック"/>
                <w:b/>
                <w:sz w:val="19"/>
              </w:rPr>
              <w:t>B. 人事評価システム</w:t>
            </w:r>
          </w:p>
        </w:tc>
        <w:tc>
          <w:tcPr>
            <w:tcW w:type="dxa" w:w="2117"/>
            <w:shd w:val="clear" w:color="auto" w:fill="F3EEE6"/>
          </w:tcPr>
          <w:p>
            <w:r/>
            <w:r>
              <w:rPr>
                <w:rFonts w:ascii="游ゴシック" w:hAnsi="游ゴシック" w:eastAsia="游ゴシック" w:cs="游ゴシック"/>
                <w:b/>
                <w:sz w:val="19"/>
              </w:rPr>
              <w:t>C. 業務記録にもとづくAI評価支援</w:t>
            </w:r>
          </w:p>
        </w:tc>
      </w:tr>
      <w:tr>
        <w:tc>
          <w:tcPr>
            <w:tcW w:type="dxa" w:w="2941"/>
          </w:tcPr>
          <w:p>
            <w:r/>
            <w:r>
              <w:rPr>
                <w:rFonts w:ascii="游ゴシック" w:hAnsi="游ゴシック" w:eastAsia="游ゴシック" w:cs="游ゴシック"/>
                <w:sz w:val="19"/>
              </w:rPr>
              <w:t>点数ごとに根拠が残るか</w:t>
            </w:r>
          </w:p>
        </w:tc>
        <w:tc>
          <w:tcPr>
            <w:tcW w:type="dxa" w:w="2176"/>
          </w:tcPr>
          <w:p>
            <w:r/>
            <w:r>
              <w:rPr>
                <w:rFonts w:ascii="游ゴシック" w:hAnsi="游ゴシック" w:eastAsia="游ゴシック" w:cs="游ゴシック"/>
                <w:sz w:val="19"/>
              </w:rPr>
            </w:r>
          </w:p>
        </w:tc>
        <w:tc>
          <w:tcPr>
            <w:tcW w:type="dxa" w:w="2176"/>
          </w:tcPr>
          <w:p>
            <w:r/>
            <w:r>
              <w:rPr>
                <w:rFonts w:ascii="游ゴシック" w:hAnsi="游ゴシック" w:eastAsia="游ゴシック" w:cs="游ゴシック"/>
                <w:sz w:val="19"/>
              </w:rPr>
            </w:r>
          </w:p>
        </w:tc>
        <w:tc>
          <w:tcPr>
            <w:tcW w:type="dxa" w:w="2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評価者間のばらつきを抑えられるか</w:t>
            </w:r>
          </w:p>
        </w:tc>
        <w:tc>
          <w:tcPr>
            <w:tcW w:type="dxa" w:w="2176"/>
          </w:tcPr>
          <w:p>
            <w:r/>
            <w:r>
              <w:rPr>
                <w:rFonts w:ascii="游ゴシック" w:hAnsi="游ゴシック" w:eastAsia="游ゴシック" w:cs="游ゴシック"/>
                <w:sz w:val="19"/>
              </w:rPr>
            </w:r>
          </w:p>
        </w:tc>
        <w:tc>
          <w:tcPr>
            <w:tcW w:type="dxa" w:w="2176"/>
          </w:tcPr>
          <w:p>
            <w:r/>
            <w:r>
              <w:rPr>
                <w:rFonts w:ascii="游ゴシック" w:hAnsi="游ゴシック" w:eastAsia="游ゴシック" w:cs="游ゴシック"/>
                <w:sz w:val="19"/>
              </w:rPr>
            </w:r>
          </w:p>
        </w:tc>
        <w:tc>
          <w:tcPr>
            <w:tcW w:type="dxa" w:w="2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評価者・人事の運用負担</w:t>
            </w:r>
          </w:p>
        </w:tc>
        <w:tc>
          <w:tcPr>
            <w:tcW w:type="dxa" w:w="2176"/>
          </w:tcPr>
          <w:p>
            <w:r/>
            <w:r>
              <w:rPr>
                <w:rFonts w:ascii="游ゴシック" w:hAnsi="游ゴシック" w:eastAsia="游ゴシック" w:cs="游ゴシック"/>
                <w:sz w:val="19"/>
              </w:rPr>
            </w:r>
          </w:p>
        </w:tc>
        <w:tc>
          <w:tcPr>
            <w:tcW w:type="dxa" w:w="2176"/>
          </w:tcPr>
          <w:p>
            <w:r/>
            <w:r>
              <w:rPr>
                <w:rFonts w:ascii="游ゴシック" w:hAnsi="游ゴシック" w:eastAsia="游ゴシック" w:cs="游ゴシック"/>
                <w:sz w:val="19"/>
              </w:rPr>
            </w:r>
          </w:p>
        </w:tc>
        <w:tc>
          <w:tcPr>
            <w:tcW w:type="dxa" w:w="2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従業員が結果に納得できる根拠</w:t>
            </w:r>
          </w:p>
        </w:tc>
        <w:tc>
          <w:tcPr>
            <w:tcW w:type="dxa" w:w="2176"/>
          </w:tcPr>
          <w:p>
            <w:r/>
            <w:r>
              <w:rPr>
                <w:rFonts w:ascii="游ゴシック" w:hAnsi="游ゴシック" w:eastAsia="游ゴシック" w:cs="游ゴシック"/>
                <w:sz w:val="19"/>
              </w:rPr>
            </w:r>
          </w:p>
        </w:tc>
        <w:tc>
          <w:tcPr>
            <w:tcW w:type="dxa" w:w="2176"/>
          </w:tcPr>
          <w:p>
            <w:r/>
            <w:r>
              <w:rPr>
                <w:rFonts w:ascii="游ゴシック" w:hAnsi="游ゴシック" w:eastAsia="游ゴシック" w:cs="游ゴシック"/>
                <w:sz w:val="19"/>
              </w:rPr>
            </w:r>
          </w:p>
        </w:tc>
        <w:tc>
          <w:tcPr>
            <w:tcW w:type="dxa" w:w="2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法令・セキュリティ上の負担</w:t>
            </w:r>
          </w:p>
        </w:tc>
        <w:tc>
          <w:tcPr>
            <w:tcW w:type="dxa" w:w="2176"/>
          </w:tcPr>
          <w:p>
            <w:r/>
            <w:r>
              <w:rPr>
                <w:rFonts w:ascii="游ゴシック" w:hAnsi="游ゴシック" w:eastAsia="游ゴシック" w:cs="游ゴシック"/>
                <w:sz w:val="19"/>
              </w:rPr>
            </w:r>
          </w:p>
        </w:tc>
        <w:tc>
          <w:tcPr>
            <w:tcW w:type="dxa" w:w="2176"/>
          </w:tcPr>
          <w:p>
            <w:r/>
            <w:r>
              <w:rPr>
                <w:rFonts w:ascii="游ゴシック" w:hAnsi="游ゴシック" w:eastAsia="游ゴシック" w:cs="游ゴシック"/>
                <w:sz w:val="19"/>
              </w:rPr>
            </w:r>
          </w:p>
        </w:tc>
        <w:tc>
          <w:tcPr>
            <w:tcW w:type="dxa" w:w="2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費用（年間）</w:t>
            </w:r>
          </w:p>
        </w:tc>
        <w:tc>
          <w:tcPr>
            <w:tcW w:type="dxa" w:w="2176"/>
          </w:tcPr>
          <w:p>
            <w:r/>
            <w:r>
              <w:rPr>
                <w:rFonts w:ascii="游ゴシック" w:hAnsi="游ゴシック" w:eastAsia="游ゴシック" w:cs="游ゴシック"/>
                <w:sz w:val="19"/>
              </w:rPr>
            </w:r>
          </w:p>
        </w:tc>
        <w:tc>
          <w:tcPr>
            <w:tcW w:type="dxa" w:w="2176"/>
          </w:tcPr>
          <w:p>
            <w:r/>
            <w:r>
              <w:rPr>
                <w:rFonts w:ascii="游ゴシック" w:hAnsi="游ゴシック" w:eastAsia="游ゴシック" w:cs="游ゴシック"/>
                <w:sz w:val="19"/>
              </w:rPr>
            </w:r>
          </w:p>
        </w:tc>
        <w:tc>
          <w:tcPr>
            <w:tcW w:type="dxa" w:w="2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総合</w:t>
            </w:r>
          </w:p>
        </w:tc>
        <w:tc>
          <w:tcPr>
            <w:tcW w:type="dxa" w:w="2176"/>
          </w:tcPr>
          <w:p>
            <w:r/>
            <w:r>
              <w:rPr>
                <w:rFonts w:ascii="游ゴシック" w:hAnsi="游ゴシック" w:eastAsia="游ゴシック" w:cs="游ゴシック"/>
                <w:sz w:val="19"/>
              </w:rPr>
            </w:r>
          </w:p>
        </w:tc>
        <w:tc>
          <w:tcPr>
            <w:tcW w:type="dxa" w:w="2176"/>
          </w:tcPr>
          <w:p>
            <w:r/>
            <w:r>
              <w:rPr>
                <w:rFonts w:ascii="游ゴシック" w:hAnsi="游ゴシック" w:eastAsia="游ゴシック" w:cs="游ゴシック"/>
                <w:sz w:val="19"/>
              </w:rPr>
            </w:r>
          </w:p>
        </w:tc>
        <w:tc>
          <w:tcPr>
            <w:tcW w:type="dxa" w:w="2117"/>
          </w:tcPr>
          <w:p>
            <w:r/>
            <w:r>
              <w:rPr>
                <w:rFonts w:ascii="游ゴシック" w:hAnsi="游ゴシック" w:eastAsia="游ゴシック" w:cs="游ゴシック"/>
                <w:sz w:val="19"/>
              </w:rPr>
            </w:r>
          </w:p>
        </w:tc>
      </w:tr>
    </w:tbl>
    <w:p/>
    <w:p>
      <w:pPr>
        <w:spacing w:before="320" w:after="80"/>
      </w:pPr>
      <w:r>
        <w:rPr>
          <w:rFonts w:ascii="游ゴシック" w:hAnsi="游ゴシック" w:eastAsia="游ゴシック" w:cs="游ゴシック"/>
          <w:b/>
          <w:color w:val="1A1720"/>
          <w:sz w:val="30"/>
        </w:rPr>
        <w:t>5. 法令・セキュリティの確認事項</w:t>
      </w:r>
    </w:p>
    <w:p>
      <w:r>
        <w:rPr>
          <w:rFonts w:ascii="游ゴシック" w:hAnsi="游ゴシック" w:eastAsia="游ゴシック" w:cs="游ゴシック"/>
          <w:i/>
          <w:color w:val="6B6459"/>
          <w:sz w:val="18"/>
        </w:rPr>
        <w:t>記入のポイント：項目ごとに担当と状況を書きます。最終判断は社会保険労務士・弁護士への確認を経ます。</w:t>
      </w:r>
    </w:p>
    <w:tbl>
      <w:tblPr>
        <w:tblStyle w:val="TableGrid"/>
        <w:tblW w:type="auto" w:w="0"/>
        <w:jc w:val="center"/>
        <w:tblLayout w:type="fixed"/>
        <w:tblLook w:firstColumn="1" w:firstRow="1" w:lastColumn="0" w:lastRow="0" w:noHBand="0" w:noVBand="1" w:val="04A0"/>
      </w:tblPr>
      <w:tblGrid>
        <w:gridCol w:w="1764"/>
        <w:gridCol w:w="2117"/>
        <w:gridCol w:w="3764"/>
        <w:gridCol w:w="882"/>
        <w:gridCol w:w="882"/>
      </w:tblGrid>
      <w:tr>
        <w:tc>
          <w:tcPr>
            <w:tcW w:type="dxa" w:w="1765"/>
            <w:shd w:val="clear" w:color="auto" w:fill="F3EEE6"/>
          </w:tcPr>
          <w:p>
            <w:r/>
            <w:r>
              <w:rPr>
                <w:rFonts w:ascii="游ゴシック" w:hAnsi="游ゴシック" w:eastAsia="游ゴシック" w:cs="游ゴシック"/>
                <w:b/>
                <w:sz w:val="19"/>
              </w:rPr>
              <w:t>項目</w:t>
            </w:r>
          </w:p>
        </w:tc>
        <w:tc>
          <w:tcPr>
            <w:tcW w:type="dxa" w:w="2117"/>
            <w:shd w:val="clear" w:color="auto" w:fill="F3EEE6"/>
          </w:tcPr>
          <w:p>
            <w:r/>
            <w:r>
              <w:rPr>
                <w:rFonts w:ascii="游ゴシック" w:hAnsi="游ゴシック" w:eastAsia="游ゴシック" w:cs="游ゴシック"/>
                <w:b/>
                <w:sz w:val="19"/>
              </w:rPr>
              <w:t>根拠</w:t>
            </w:r>
          </w:p>
        </w:tc>
        <w:tc>
          <w:tcPr>
            <w:tcW w:type="dxa" w:w="3764"/>
            <w:shd w:val="clear" w:color="auto" w:fill="F3EEE6"/>
          </w:tcPr>
          <w:p>
            <w:r/>
            <w:r>
              <w:rPr>
                <w:rFonts w:ascii="游ゴシック" w:hAnsi="游ゴシック" w:eastAsia="游ゴシック" w:cs="游ゴシック"/>
                <w:b/>
                <w:sz w:val="19"/>
              </w:rPr>
              <w:t>確認すること</w:t>
            </w:r>
          </w:p>
        </w:tc>
        <w:tc>
          <w:tcPr>
            <w:tcW w:type="dxa" w:w="882"/>
            <w:shd w:val="clear" w:color="auto" w:fill="F3EEE6"/>
          </w:tcPr>
          <w:p>
            <w:r/>
            <w:r>
              <w:rPr>
                <w:rFonts w:ascii="游ゴシック" w:hAnsi="游ゴシック" w:eastAsia="游ゴシック" w:cs="游ゴシック"/>
                <w:b/>
                <w:sz w:val="19"/>
              </w:rPr>
              <w:t>担当</w:t>
            </w:r>
          </w:p>
        </w:tc>
        <w:tc>
          <w:tcPr>
            <w:tcW w:type="dxa" w:w="882"/>
            <w:shd w:val="clear" w:color="auto" w:fill="F3EEE6"/>
          </w:tcPr>
          <w:p>
            <w:r/>
            <w:r>
              <w:rPr>
                <w:rFonts w:ascii="游ゴシック" w:hAnsi="游ゴシック" w:eastAsia="游ゴシック" w:cs="游ゴシック"/>
                <w:b/>
                <w:sz w:val="19"/>
              </w:rPr>
              <w:t>状況</w:t>
            </w:r>
          </w:p>
        </w:tc>
      </w:tr>
      <w:tr>
        <w:tc>
          <w:tcPr>
            <w:tcW w:type="dxa" w:w="1765"/>
          </w:tcPr>
          <w:p>
            <w:r/>
            <w:r>
              <w:rPr>
                <w:rFonts w:ascii="游ゴシック" w:hAnsi="游ゴシック" w:eastAsia="游ゴシック" w:cs="游ゴシック"/>
                <w:sz w:val="19"/>
              </w:rPr>
              <w:t>利用目的の特定・通知</w:t>
            </w:r>
          </w:p>
        </w:tc>
        <w:tc>
          <w:tcPr>
            <w:tcW w:type="dxa" w:w="2117"/>
          </w:tcPr>
          <w:p>
            <w:r/>
            <w:r>
              <w:rPr>
                <w:rFonts w:ascii="游ゴシック" w:hAnsi="游ゴシック" w:eastAsia="游ゴシック" w:cs="游ゴシック"/>
                <w:sz w:val="19"/>
              </w:rPr>
              <w:t>個人情報保護法 第17条・第21条</w:t>
            </w:r>
          </w:p>
        </w:tc>
        <w:tc>
          <w:tcPr>
            <w:tcW w:type="dxa" w:w="3764"/>
          </w:tcPr>
          <w:p>
            <w:r/>
            <w:r>
              <w:rPr>
                <w:rFonts w:ascii="游ゴシック" w:hAnsi="游ゴシック" w:eastAsia="游ゴシック" w:cs="游ゴシック"/>
                <w:sz w:val="19"/>
              </w:rPr>
              <w:t>従業員の個人情報を評価に使う目的の特定と、本人への通知・公表</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既存の記録を評価に使う</w:t>
            </w:r>
          </w:p>
        </w:tc>
        <w:tc>
          <w:tcPr>
            <w:tcW w:type="dxa" w:w="2117"/>
          </w:tcPr>
          <w:p>
            <w:r/>
            <w:r>
              <w:rPr>
                <w:rFonts w:ascii="游ゴシック" w:hAnsi="游ゴシック" w:eastAsia="游ゴシック" w:cs="游ゴシック"/>
                <w:sz w:val="19"/>
              </w:rPr>
              <w:t>個人情報保護法 第17条第2項・第21条第3項・第18条</w:t>
            </w:r>
          </w:p>
        </w:tc>
        <w:tc>
          <w:tcPr>
            <w:tcW w:type="dxa" w:w="3764"/>
          </w:tcPr>
          <w:p>
            <w:r/>
            <w:r>
              <w:rPr>
                <w:rFonts w:ascii="游ゴシック" w:hAnsi="游ゴシック" w:eastAsia="游ゴシック" w:cs="游ゴシック"/>
                <w:sz w:val="19"/>
              </w:rPr>
              <w:t>利用目的の変更にあたるか、変更後の目的の通知・公表。関連性の範囲を超えるなら本人の同意</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委託先の監督</w:t>
            </w:r>
          </w:p>
        </w:tc>
        <w:tc>
          <w:tcPr>
            <w:tcW w:type="dxa" w:w="2117"/>
          </w:tcPr>
          <w:p>
            <w:r/>
            <w:r>
              <w:rPr>
                <w:rFonts w:ascii="游ゴシック" w:hAnsi="游ゴシック" w:eastAsia="游ゴシック" w:cs="游ゴシック"/>
                <w:sz w:val="19"/>
              </w:rPr>
              <w:t>個人情報保護法 第25条</w:t>
            </w:r>
          </w:p>
        </w:tc>
        <w:tc>
          <w:tcPr>
            <w:tcW w:type="dxa" w:w="3764"/>
          </w:tcPr>
          <w:p>
            <w:r/>
            <w:r>
              <w:rPr>
                <w:rFonts w:ascii="游ゴシック" w:hAnsi="游ゴシック" w:eastAsia="游ゴシック" w:cs="游ゴシック"/>
                <w:sz w:val="19"/>
              </w:rPr>
              <w:t>提供事業者との個人データの取扱いに関する覚書（DPA）と、委託先に対する監督</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外国にある第三者への提供</w:t>
            </w:r>
          </w:p>
        </w:tc>
        <w:tc>
          <w:tcPr>
            <w:tcW w:type="dxa" w:w="2117"/>
          </w:tcPr>
          <w:p>
            <w:r/>
            <w:r>
              <w:rPr>
                <w:rFonts w:ascii="游ゴシック" w:hAnsi="游ゴシック" w:eastAsia="游ゴシック" w:cs="游ゴシック"/>
                <w:sz w:val="19"/>
              </w:rPr>
              <w:t>個人情報保護法 第28条</w:t>
            </w:r>
          </w:p>
        </w:tc>
        <w:tc>
          <w:tcPr>
            <w:tcW w:type="dxa" w:w="3764"/>
          </w:tcPr>
          <w:p>
            <w:r/>
            <w:r>
              <w:rPr>
                <w:rFonts w:ascii="游ゴシック" w:hAnsi="游ゴシック" w:eastAsia="游ゴシック" w:cs="游ゴシック"/>
                <w:sz w:val="19"/>
              </w:rPr>
              <w:t>データが海外のサーバーやAIで処理されるか、同意または体制整備の要否、外的環境の把握</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モニタリングの運用</w:t>
            </w:r>
          </w:p>
        </w:tc>
        <w:tc>
          <w:tcPr>
            <w:tcW w:type="dxa" w:w="2117"/>
          </w:tcPr>
          <w:p>
            <w:r/>
            <w:r>
              <w:rPr>
                <w:rFonts w:ascii="游ゴシック" w:hAnsi="游ゴシック" w:eastAsia="游ゴシック" w:cs="游ゴシック"/>
                <w:sz w:val="19"/>
              </w:rPr>
              <w:t>個人情報保護委員会 Q&amp;A 5-7（参考）</w:t>
            </w:r>
          </w:p>
        </w:tc>
        <w:tc>
          <w:tcPr>
            <w:tcW w:type="dxa" w:w="3764"/>
          </w:tcPr>
          <w:p>
            <w:r/>
            <w:r>
              <w:rPr>
                <w:rFonts w:ascii="游ゴシック" w:hAnsi="游ゴシック" w:eastAsia="游ゴシック" w:cs="游ゴシック"/>
                <w:sz w:val="19"/>
              </w:rPr>
              <w:t>目的の特定と社内規程への明記、責任者の決定、労働組合等への事前通知・協議</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就業規則の変更</w:t>
            </w:r>
          </w:p>
        </w:tc>
        <w:tc>
          <w:tcPr>
            <w:tcW w:type="dxa" w:w="2117"/>
          </w:tcPr>
          <w:p>
            <w:r/>
            <w:r>
              <w:rPr>
                <w:rFonts w:ascii="游ゴシック" w:hAnsi="游ゴシック" w:eastAsia="游ゴシック" w:cs="游ゴシック"/>
                <w:sz w:val="19"/>
              </w:rPr>
              <w:t>労働基準法 第89条・第90条・第106条</w:t>
            </w:r>
          </w:p>
        </w:tc>
        <w:tc>
          <w:tcPr>
            <w:tcW w:type="dxa" w:w="3764"/>
          </w:tcPr>
          <w:p>
            <w:r/>
            <w:r>
              <w:rPr>
                <w:rFonts w:ascii="游ゴシック" w:hAnsi="游ゴシック" w:eastAsia="游ゴシック" w:cs="游ゴシック"/>
                <w:sz w:val="19"/>
              </w:rPr>
              <w:t>評価制度を就業規則で定めている場合、過半数労働組合または過半数代表者の意見聴取、届出、周知</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不利益な処分の根拠</w:t>
            </w:r>
          </w:p>
        </w:tc>
        <w:tc>
          <w:tcPr>
            <w:tcW w:type="dxa" w:w="2117"/>
          </w:tcPr>
          <w:p>
            <w:r/>
            <w:r>
              <w:rPr>
                <w:rFonts w:ascii="游ゴシック" w:hAnsi="游ゴシック" w:eastAsia="游ゴシック" w:cs="游ゴシック"/>
                <w:sz w:val="19"/>
              </w:rPr>
              <w:t>労働契約法 第16条（解雇）・第3条第5項</w:t>
            </w:r>
          </w:p>
        </w:tc>
        <w:tc>
          <w:tcPr>
            <w:tcW w:type="dxa" w:w="3764"/>
          </w:tcPr>
          <w:p>
            <w:r/>
            <w:r>
              <w:rPr>
                <w:rFonts w:ascii="游ゴシック" w:hAnsi="游ゴシック" w:eastAsia="游ゴシック" w:cs="游ゴシック"/>
                <w:sz w:val="19"/>
              </w:rPr>
              <w:t>解雇は客観的に合理的な理由と社会通念上の相当性。降格・減給は就業規則などの根拠と、権利の濫用に当たらないこと</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提供事業者のセキュリティ</w:t>
            </w:r>
          </w:p>
        </w:tc>
        <w:tc>
          <w:tcPr>
            <w:tcW w:type="dxa" w:w="2117"/>
          </w:tcPr>
          <w:p>
            <w:r/>
            <w:r>
              <w:rPr>
                <w:rFonts w:ascii="游ゴシック" w:hAnsi="游ゴシック" w:eastAsia="游ゴシック" w:cs="游ゴシック"/>
                <w:sz w:val="19"/>
              </w:rPr>
              <w:t>契約</w:t>
            </w:r>
          </w:p>
        </w:tc>
        <w:tc>
          <w:tcPr>
            <w:tcW w:type="dxa" w:w="3764"/>
          </w:tcPr>
          <w:p>
            <w:r/>
            <w:r>
              <w:rPr>
                <w:rFonts w:ascii="游ゴシック" w:hAnsi="游ゴシック" w:eastAsia="游ゴシック" w:cs="游ゴシック"/>
                <w:sz w:val="19"/>
              </w:rPr>
              <w:t>元データを保管するか、AIの学習に使うか、再委託先一覧、アクセス記録、契約終了時の削除</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r>
        <w:tc>
          <w:tcPr>
            <w:tcW w:type="dxa" w:w="1765"/>
          </w:tcPr>
          <w:p>
            <w:r/>
            <w:r>
              <w:rPr>
                <w:rFonts w:ascii="游ゴシック" w:hAnsi="游ゴシック" w:eastAsia="游ゴシック" w:cs="游ゴシック"/>
                <w:sz w:val="19"/>
              </w:rPr>
              <w:t>2026年改正個人情報保護法</w:t>
            </w:r>
          </w:p>
        </w:tc>
        <w:tc>
          <w:tcPr>
            <w:tcW w:type="dxa" w:w="2117"/>
          </w:tcPr>
          <w:p>
            <w:r/>
            <w:r>
              <w:rPr>
                <w:rFonts w:ascii="游ゴシック" w:hAnsi="游ゴシック" w:eastAsia="游ゴシック" w:cs="游ゴシック"/>
                <w:sz w:val="19"/>
              </w:rPr>
              <w:t>公布 2026年7月（施行は公布後2年以内）</w:t>
            </w:r>
          </w:p>
        </w:tc>
        <w:tc>
          <w:tcPr>
            <w:tcW w:type="dxa" w:w="3764"/>
          </w:tcPr>
          <w:p>
            <w:r/>
            <w:r>
              <w:rPr>
                <w:rFonts w:ascii="游ゴシック" w:hAnsi="游ゴシック" w:eastAsia="游ゴシック" w:cs="游ゴシック"/>
                <w:sz w:val="19"/>
              </w:rPr>
              <w:t>課徴金、委託先の規律などの見直しに、提供事業者が対応するか</w:t>
            </w:r>
          </w:p>
        </w:tc>
        <w:tc>
          <w:tcPr>
            <w:tcW w:type="dxa" w:w="882"/>
          </w:tcPr>
          <w:p>
            <w:r/>
            <w:r>
              <w:rPr>
                <w:rFonts w:ascii="游ゴシック" w:hAnsi="游ゴシック" w:eastAsia="游ゴシック" w:cs="游ゴシック"/>
                <w:sz w:val="19"/>
              </w:rPr>
            </w:r>
          </w:p>
        </w:tc>
        <w:tc>
          <w:tcPr>
            <w:tcW w:type="dxa" w:w="882"/>
          </w:tcPr>
          <w:p>
            <w:r/>
            <w:r>
              <w:rPr>
                <w:rFonts w:ascii="游ゴシック" w:hAnsi="游ゴシック" w:eastAsia="游ゴシック" w:cs="游ゴシック"/>
                <w:sz w:val="19"/>
              </w:rPr>
            </w:r>
          </w:p>
        </w:tc>
      </w:tr>
    </w:tbl>
    <w:p/>
    <w:p>
      <w:pPr>
        <w:spacing w:before="320" w:after="80"/>
      </w:pPr>
      <w:r>
        <w:rPr>
          <w:rFonts w:ascii="游ゴシック" w:hAnsi="游ゴシック" w:eastAsia="游ゴシック" w:cs="游ゴシック"/>
          <w:b/>
          <w:color w:val="1A1720"/>
          <w:sz w:val="30"/>
        </w:rPr>
        <w:t>6. 試験導入の計画</w:t>
      </w:r>
    </w:p>
    <w:tbl>
      <w:tblPr>
        <w:tblStyle w:val="TableGrid"/>
        <w:tblW w:type="auto" w:w="0"/>
        <w:jc w:val="center"/>
        <w:tblLayout w:type="fixed"/>
        <w:tblLook w:firstColumn="1" w:firstRow="1" w:lastColumn="0" w:lastRow="0" w:noHBand="0" w:noVBand="1" w:val="04A0"/>
      </w:tblPr>
      <w:tblGrid>
        <w:gridCol w:w="2058"/>
        <w:gridCol w:w="7353"/>
      </w:tblGrid>
      <w:tr>
        <w:tc>
          <w:tcPr>
            <w:tcW w:type="dxa" w:w="2059"/>
            <w:shd w:val="clear" w:color="auto" w:fill="F3EEE6"/>
          </w:tcPr>
          <w:p>
            <w:r/>
            <w:r>
              <w:rPr>
                <w:rFonts w:ascii="游ゴシック" w:hAnsi="游ゴシック" w:eastAsia="游ゴシック" w:cs="游ゴシック"/>
                <w:b/>
                <w:sz w:val="19"/>
              </w:rPr>
              <w:t>項目</w:t>
            </w:r>
          </w:p>
        </w:tc>
        <w:tc>
          <w:tcPr>
            <w:tcW w:type="dxa" w:w="7352"/>
            <w:shd w:val="clear" w:color="auto" w:fill="F3EEE6"/>
          </w:tcPr>
          <w:p>
            <w:r/>
            <w:r>
              <w:rPr>
                <w:rFonts w:ascii="游ゴシック" w:hAnsi="游ゴシック" w:eastAsia="游ゴシック" w:cs="游ゴシック"/>
                <w:b/>
                <w:sz w:val="19"/>
              </w:rPr>
              <w:t>内容</w:t>
            </w:r>
          </w:p>
        </w:tc>
      </w:tr>
      <w:tr>
        <w:tc>
          <w:tcPr>
            <w:tcW w:type="dxa" w:w="2059"/>
          </w:tcPr>
          <w:p>
            <w:r/>
            <w:r>
              <w:rPr>
                <w:rFonts w:ascii="游ゴシック" w:hAnsi="游ゴシック" w:eastAsia="游ゴシック" w:cs="游ゴシック"/>
                <w:sz w:val="19"/>
              </w:rPr>
              <w:t>対象</w:t>
            </w:r>
          </w:p>
        </w:tc>
        <w:tc>
          <w:tcPr>
            <w:tcW w:type="dxa" w:w="7352"/>
          </w:tcPr>
          <w:p>
            <w:r/>
            <w:r>
              <w:rPr>
                <w:rFonts w:ascii="游ゴシック" w:hAnsi="游ゴシック" w:eastAsia="游ゴシック" w:cs="游ゴシック"/>
                <w:color w:val="6B6459"/>
                <w:sz w:val="19"/>
              </w:rPr>
              <w:t>例）グロースチーム、プラットフォームチーム（○○名）。業務ツールに記録が残りやすいチームから</w:t>
            </w:r>
          </w:p>
        </w:tc>
      </w:tr>
      <w:tr>
        <w:tc>
          <w:tcPr>
            <w:tcW w:type="dxa" w:w="2059"/>
          </w:tcPr>
          <w:p>
            <w:r/>
            <w:r>
              <w:rPr>
                <w:rFonts w:ascii="游ゴシック" w:hAnsi="游ゴシック" w:eastAsia="游ゴシック" w:cs="游ゴシック"/>
                <w:sz w:val="19"/>
              </w:rPr>
              <w:t>期間</w:t>
            </w:r>
          </w:p>
        </w:tc>
        <w:tc>
          <w:tcPr>
            <w:tcW w:type="dxa" w:w="7352"/>
          </w:tcPr>
          <w:p>
            <w:r/>
            <w:r>
              <w:rPr>
                <w:rFonts w:ascii="游ゴシック" w:hAnsi="游ゴシック" w:eastAsia="游ゴシック" w:cs="游ゴシック"/>
                <w:color w:val="6B6459"/>
                <w:sz w:val="19"/>
              </w:rPr>
              <w:t>例）1月〜4月（下期の評価時期を1回含むように）</w:t>
            </w:r>
          </w:p>
        </w:tc>
      </w:tr>
      <w:tr>
        <w:tc>
          <w:tcPr>
            <w:tcW w:type="dxa" w:w="2059"/>
          </w:tcPr>
          <w:p>
            <w:r/>
            <w:r>
              <w:rPr>
                <w:rFonts w:ascii="游ゴシック" w:hAnsi="游ゴシック" w:eastAsia="游ゴシック" w:cs="游ゴシック"/>
                <w:sz w:val="19"/>
              </w:rPr>
              <w:t>連携するツール</w:t>
            </w:r>
          </w:p>
        </w:tc>
        <w:tc>
          <w:tcPr>
            <w:tcW w:type="dxa" w:w="7352"/>
          </w:tcPr>
          <w:p>
            <w:r/>
            <w:r>
              <w:rPr>
                <w:rFonts w:ascii="游ゴシック" w:hAnsi="游ゴシック" w:eastAsia="游ゴシック" w:cs="游ゴシック"/>
                <w:color w:val="6B6459"/>
                <w:sz w:val="19"/>
              </w:rPr>
              <w:t>例）チャット、課題管理、ドキュメント（DM・個人のドライブは対象外）</w:t>
            </w:r>
          </w:p>
        </w:tc>
      </w:tr>
      <w:tr>
        <w:tc>
          <w:tcPr>
            <w:tcW w:type="dxa" w:w="2059"/>
          </w:tcPr>
          <w:p>
            <w:r/>
            <w:r>
              <w:rPr>
                <w:rFonts w:ascii="游ゴシック" w:hAnsi="游ゴシック" w:eastAsia="游ゴシック" w:cs="游ゴシック"/>
                <w:sz w:val="19"/>
              </w:rPr>
              <w:t>従業員への周知</w:t>
            </w:r>
          </w:p>
        </w:tc>
        <w:tc>
          <w:tcPr>
            <w:tcW w:type="dxa" w:w="7352"/>
          </w:tcPr>
          <w:p>
            <w:r/>
            <w:r>
              <w:rPr>
                <w:rFonts w:ascii="游ゴシック" w:hAnsi="游ゴシック" w:eastAsia="游ゴシック" w:cs="游ゴシック"/>
                <w:color w:val="6B6459"/>
                <w:sz w:val="19"/>
              </w:rPr>
              <w:t>例）開始2週間前に周知文を配布、説明会1回、問い合わせ窓口を設置</w:t>
            </w:r>
          </w:p>
        </w:tc>
      </w:tr>
      <w:tr>
        <w:tc>
          <w:tcPr>
            <w:tcW w:type="dxa" w:w="2059"/>
          </w:tcPr>
          <w:p>
            <w:r/>
            <w:r>
              <w:rPr>
                <w:rFonts w:ascii="游ゴシック" w:hAnsi="游ゴシック" w:eastAsia="游ゴシック" w:cs="游ゴシック"/>
                <w:sz w:val="19"/>
              </w:rPr>
              <w:t>処遇への反映</w:t>
            </w:r>
          </w:p>
        </w:tc>
        <w:tc>
          <w:tcPr>
            <w:tcW w:type="dxa" w:w="7352"/>
          </w:tcPr>
          <w:p>
            <w:r/>
            <w:r>
              <w:rPr>
                <w:rFonts w:ascii="游ゴシック" w:hAnsi="游ゴシック" w:eastAsia="游ゴシック" w:cs="游ゴシック"/>
                <w:color w:val="6B6459"/>
                <w:sz w:val="19"/>
              </w:rPr>
              <w:t>例）試験導入期間の結果は処遇に反映しない</w:t>
            </w:r>
          </w:p>
        </w:tc>
      </w:tr>
    </w:tbl>
    <w:p/>
    <w:tbl>
      <w:tblPr>
        <w:tblStyle w:val="TableGrid"/>
        <w:tblW w:type="auto" w:w="0"/>
        <w:jc w:val="center"/>
        <w:tblLayout w:type="fixed"/>
        <w:tblLook w:firstColumn="1" w:firstRow="1" w:lastColumn="0" w:lastRow="0" w:noHBand="0" w:noVBand="1" w:val="04A0"/>
      </w:tblPr>
      <w:tblGrid>
        <w:gridCol w:w="2941"/>
        <w:gridCol w:w="1470"/>
        <w:gridCol w:w="1470"/>
        <w:gridCol w:w="3529"/>
      </w:tblGrid>
      <w:tr>
        <w:tc>
          <w:tcPr>
            <w:tcW w:type="dxa" w:w="2941"/>
            <w:shd w:val="clear" w:color="auto" w:fill="F3EEE6"/>
          </w:tcPr>
          <w:p>
            <w:r/>
            <w:r>
              <w:rPr>
                <w:rFonts w:ascii="游ゴシック" w:hAnsi="游ゴシック" w:eastAsia="游ゴシック" w:cs="游ゴシック"/>
                <w:b/>
                <w:sz w:val="19"/>
              </w:rPr>
              <w:t>評価指標</w:t>
            </w:r>
          </w:p>
        </w:tc>
        <w:tc>
          <w:tcPr>
            <w:tcW w:type="dxa" w:w="1470"/>
            <w:shd w:val="clear" w:color="auto" w:fill="F3EEE6"/>
          </w:tcPr>
          <w:p>
            <w:r/>
            <w:r>
              <w:rPr>
                <w:rFonts w:ascii="游ゴシック" w:hAnsi="游ゴシック" w:eastAsia="游ゴシック" w:cs="游ゴシック"/>
                <w:b/>
                <w:sz w:val="19"/>
              </w:rPr>
              <w:t>現状</w:t>
            </w:r>
          </w:p>
        </w:tc>
        <w:tc>
          <w:tcPr>
            <w:tcW w:type="dxa" w:w="1470"/>
            <w:shd w:val="clear" w:color="auto" w:fill="F3EEE6"/>
          </w:tcPr>
          <w:p>
            <w:r/>
            <w:r>
              <w:rPr>
                <w:rFonts w:ascii="游ゴシック" w:hAnsi="游ゴシック" w:eastAsia="游ゴシック" w:cs="游ゴシック"/>
                <w:b/>
                <w:sz w:val="19"/>
              </w:rPr>
              <w:t>目標</w:t>
            </w:r>
          </w:p>
        </w:tc>
        <w:tc>
          <w:tcPr>
            <w:tcW w:type="dxa" w:w="3529"/>
            <w:shd w:val="clear" w:color="auto" w:fill="F3EEE6"/>
          </w:tcPr>
          <w:p>
            <w:r/>
            <w:r>
              <w:rPr>
                <w:rFonts w:ascii="游ゴシック" w:hAnsi="游ゴシック" w:eastAsia="游ゴシック" w:cs="游ゴシック"/>
                <w:b/>
                <w:sz w:val="19"/>
              </w:rPr>
              <w:t>測定方法</w:t>
            </w:r>
          </w:p>
        </w:tc>
      </w:tr>
      <w:tr>
        <w:tc>
          <w:tcPr>
            <w:tcW w:type="dxa" w:w="2941"/>
          </w:tcPr>
          <w:p>
            <w:r/>
            <w:r>
              <w:rPr>
                <w:rFonts w:ascii="游ゴシック" w:hAnsi="游ゴシック" w:eastAsia="游ゴシック" w:cs="游ゴシック"/>
                <w:sz w:val="19"/>
              </w:rPr>
              <w:t>根拠のある評価項目の割合</w:t>
            </w:r>
          </w:p>
        </w:tc>
        <w:tc>
          <w:tcPr>
            <w:tcW w:type="dxa" w:w="1470"/>
          </w:tcPr>
          <w:p>
            <w:r/>
            <w:r>
              <w:rPr>
                <w:rFonts w:ascii="游ゴシック" w:hAnsi="游ゴシック" w:eastAsia="游ゴシック" w:cs="游ゴシック"/>
                <w:sz w:val="19"/>
              </w:rPr>
            </w:r>
          </w:p>
        </w:tc>
        <w:tc>
          <w:tcPr>
            <w:tcW w:type="dxa" w:w="1470"/>
          </w:tcPr>
          <w:p>
            <w:r/>
            <w:r>
              <w:rPr>
                <w:rFonts w:ascii="游ゴシック" w:hAnsi="游ゴシック" w:eastAsia="游ゴシック" w:cs="游ゴシック"/>
                <w:sz w:val="19"/>
              </w:rPr>
            </w:r>
          </w:p>
        </w:tc>
        <w:tc>
          <w:tcPr>
            <w:tcW w:type="dxa" w:w="3529"/>
          </w:tcPr>
          <w:p>
            <w:r/>
            <w:r>
              <w:rPr>
                <w:rFonts w:ascii="游ゴシック" w:hAnsi="游ゴシック" w:eastAsia="游ゴシック" w:cs="游ゴシック"/>
                <w:color w:val="6B6459"/>
                <w:sz w:val="19"/>
              </w:rPr>
              <w:t>例）評価コメントの項目別の根拠の有無</w:t>
            </w:r>
          </w:p>
        </w:tc>
      </w:tr>
      <w:tr>
        <w:tc>
          <w:tcPr>
            <w:tcW w:type="dxa" w:w="2941"/>
          </w:tcPr>
          <w:p>
            <w:r/>
            <w:r>
              <w:rPr>
                <w:rFonts w:ascii="游ゴシック" w:hAnsi="游ゴシック" w:eastAsia="游ゴシック" w:cs="游ゴシック"/>
                <w:sz w:val="19"/>
              </w:rPr>
              <w:t>評価コメントの記入時間</w:t>
            </w:r>
          </w:p>
        </w:tc>
        <w:tc>
          <w:tcPr>
            <w:tcW w:type="dxa" w:w="1470"/>
          </w:tcPr>
          <w:p>
            <w:r/>
            <w:r>
              <w:rPr>
                <w:rFonts w:ascii="游ゴシック" w:hAnsi="游ゴシック" w:eastAsia="游ゴシック" w:cs="游ゴシック"/>
                <w:sz w:val="19"/>
              </w:rPr>
            </w:r>
          </w:p>
        </w:tc>
        <w:tc>
          <w:tcPr>
            <w:tcW w:type="dxa" w:w="1470"/>
          </w:tcPr>
          <w:p>
            <w:r/>
            <w:r>
              <w:rPr>
                <w:rFonts w:ascii="游ゴシック" w:hAnsi="游ゴシック" w:eastAsia="游ゴシック" w:cs="游ゴシック"/>
                <w:sz w:val="19"/>
              </w:rPr>
            </w:r>
          </w:p>
        </w:tc>
        <w:tc>
          <w:tcPr>
            <w:tcW w:type="dxa" w:w="3529"/>
          </w:tcPr>
          <w:p>
            <w:r/>
            <w:r>
              <w:rPr>
                <w:rFonts w:ascii="游ゴシック" w:hAnsi="游ゴシック" w:eastAsia="游ゴシック" w:cs="游ゴシック"/>
                <w:color w:val="6B6459"/>
                <w:sz w:val="19"/>
              </w:rPr>
              <w:t>例）評価者アンケート</w:t>
            </w:r>
          </w:p>
        </w:tc>
      </w:tr>
      <w:tr>
        <w:tc>
          <w:tcPr>
            <w:tcW w:type="dxa" w:w="2941"/>
          </w:tcPr>
          <w:p>
            <w:r/>
            <w:r>
              <w:rPr>
                <w:rFonts w:ascii="游ゴシック" w:hAnsi="游ゴシック" w:eastAsia="游ゴシック" w:cs="游ゴシック"/>
                <w:sz w:val="19"/>
              </w:rPr>
              <w:t>評価者から見た根拠の正確さ</w:t>
            </w:r>
          </w:p>
        </w:tc>
        <w:tc>
          <w:tcPr>
            <w:tcW w:type="dxa" w:w="1470"/>
          </w:tcPr>
          <w:p>
            <w:r/>
            <w:r>
              <w:rPr>
                <w:rFonts w:ascii="游ゴシック" w:hAnsi="游ゴシック" w:eastAsia="游ゴシック" w:cs="游ゴシック"/>
                <w:sz w:val="19"/>
              </w:rPr>
            </w:r>
          </w:p>
        </w:tc>
        <w:tc>
          <w:tcPr>
            <w:tcW w:type="dxa" w:w="1470"/>
          </w:tcPr>
          <w:p>
            <w:r/>
            <w:r>
              <w:rPr>
                <w:rFonts w:ascii="游ゴシック" w:hAnsi="游ゴシック" w:eastAsia="游ゴシック" w:cs="游ゴシック"/>
                <w:sz w:val="19"/>
              </w:rPr>
            </w:r>
          </w:p>
        </w:tc>
        <w:tc>
          <w:tcPr>
            <w:tcW w:type="dxa" w:w="3529"/>
          </w:tcPr>
          <w:p>
            <w:r/>
            <w:r>
              <w:rPr>
                <w:rFonts w:ascii="游ゴシック" w:hAnsi="游ゴシック" w:eastAsia="游ゴシック" w:cs="游ゴシック"/>
                <w:color w:val="6B6459"/>
                <w:sz w:val="19"/>
              </w:rPr>
              <w:t>例）根拠のサンプルを評価者が確認</w:t>
            </w:r>
          </w:p>
        </w:tc>
      </w:tr>
      <w:tr>
        <w:tc>
          <w:tcPr>
            <w:tcW w:type="dxa" w:w="2941"/>
          </w:tcPr>
          <w:p>
            <w:r/>
            <w:r>
              <w:rPr>
                <w:rFonts w:ascii="游ゴシック" w:hAnsi="游ゴシック" w:eastAsia="游ゴシック" w:cs="游ゴシック"/>
                <w:sz w:val="19"/>
              </w:rPr>
              <w:t>従業員の納得感</w:t>
            </w:r>
          </w:p>
        </w:tc>
        <w:tc>
          <w:tcPr>
            <w:tcW w:type="dxa" w:w="1470"/>
          </w:tcPr>
          <w:p>
            <w:r/>
            <w:r>
              <w:rPr>
                <w:rFonts w:ascii="游ゴシック" w:hAnsi="游ゴシック" w:eastAsia="游ゴシック" w:cs="游ゴシック"/>
                <w:sz w:val="19"/>
              </w:rPr>
            </w:r>
          </w:p>
        </w:tc>
        <w:tc>
          <w:tcPr>
            <w:tcW w:type="dxa" w:w="1470"/>
          </w:tcPr>
          <w:p>
            <w:r/>
            <w:r>
              <w:rPr>
                <w:rFonts w:ascii="游ゴシック" w:hAnsi="游ゴシック" w:eastAsia="游ゴシック" w:cs="游ゴシック"/>
                <w:sz w:val="19"/>
              </w:rPr>
            </w:r>
          </w:p>
        </w:tc>
        <w:tc>
          <w:tcPr>
            <w:tcW w:type="dxa" w:w="3529"/>
          </w:tcPr>
          <w:p>
            <w:r/>
            <w:r>
              <w:rPr>
                <w:rFonts w:ascii="游ゴシック" w:hAnsi="游ゴシック" w:eastAsia="游ゴシック" w:cs="游ゴシック"/>
                <w:color w:val="6B6459"/>
                <w:sz w:val="19"/>
              </w:rPr>
              <w:t>例）面談後アンケート</w:t>
            </w:r>
          </w:p>
        </w:tc>
      </w:tr>
    </w:tbl>
    <w:p/>
    <w:p>
      <w:pPr>
        <w:spacing w:before="320" w:after="80"/>
      </w:pPr>
      <w:r>
        <w:rPr>
          <w:rFonts w:ascii="游ゴシック" w:hAnsi="游ゴシック" w:eastAsia="游ゴシック" w:cs="游ゴシック"/>
          <w:b/>
          <w:color w:val="1A1720"/>
          <w:sz w:val="30"/>
        </w:rPr>
        <w:t>7. 費用</w:t>
      </w:r>
    </w:p>
    <w:tbl>
      <w:tblPr>
        <w:tblStyle w:val="TableGrid"/>
        <w:tblW w:type="auto" w:w="0"/>
        <w:jc w:val="center"/>
        <w:tblLayout w:type="fixed"/>
        <w:tblLook w:firstColumn="1" w:firstRow="1" w:lastColumn="0" w:lastRow="0" w:noHBand="0" w:noVBand="1" w:val="04A0"/>
      </w:tblPr>
      <w:tblGrid>
        <w:gridCol w:w="2941"/>
        <w:gridCol w:w="2353"/>
        <w:gridCol w:w="4117"/>
      </w:tblGrid>
      <w:tr>
        <w:tc>
          <w:tcPr>
            <w:tcW w:type="dxa" w:w="2941"/>
            <w:shd w:val="clear" w:color="auto" w:fill="F3EEE6"/>
          </w:tcPr>
          <w:p>
            <w:r/>
            <w:r>
              <w:rPr>
                <w:rFonts w:ascii="游ゴシック" w:hAnsi="游ゴシック" w:eastAsia="游ゴシック" w:cs="游ゴシック"/>
                <w:b/>
                <w:sz w:val="19"/>
              </w:rPr>
              <w:t>項目</w:t>
            </w:r>
          </w:p>
        </w:tc>
        <w:tc>
          <w:tcPr>
            <w:tcW w:type="dxa" w:w="2353"/>
            <w:shd w:val="clear" w:color="auto" w:fill="F3EEE6"/>
          </w:tcPr>
          <w:p>
            <w:r/>
            <w:r>
              <w:rPr>
                <w:rFonts w:ascii="游ゴシック" w:hAnsi="游ゴシック" w:eastAsia="游ゴシック" w:cs="游ゴシック"/>
                <w:b/>
                <w:sz w:val="19"/>
              </w:rPr>
              <w:t>金額</w:t>
            </w:r>
          </w:p>
        </w:tc>
        <w:tc>
          <w:tcPr>
            <w:tcW w:type="dxa" w:w="4117"/>
            <w:shd w:val="clear" w:color="auto" w:fill="F3EEE6"/>
          </w:tcPr>
          <w:p>
            <w:r/>
            <w:r>
              <w:rPr>
                <w:rFonts w:ascii="游ゴシック" w:hAnsi="游ゴシック" w:eastAsia="游ゴシック" w:cs="游ゴシック"/>
                <w:b/>
                <w:sz w:val="19"/>
              </w:rPr>
              <w:t>備考</w:t>
            </w:r>
          </w:p>
        </w:tc>
      </w:tr>
      <w:tr>
        <w:tc>
          <w:tcPr>
            <w:tcW w:type="dxa" w:w="2941"/>
          </w:tcPr>
          <w:p>
            <w:r/>
            <w:r>
              <w:rPr>
                <w:rFonts w:ascii="游ゴシック" w:hAnsi="游ゴシック" w:eastAsia="游ゴシック" w:cs="游ゴシック"/>
                <w:sz w:val="19"/>
              </w:rPr>
              <w:t>ライセンス</w:t>
            </w:r>
          </w:p>
        </w:tc>
        <w:tc>
          <w:tcPr>
            <w:tcW w:type="dxa" w:w="2353"/>
          </w:tcPr>
          <w:p>
            <w:r/>
            <w:r>
              <w:rPr>
                <w:rFonts w:ascii="游ゴシック" w:hAnsi="游ゴシック" w:eastAsia="游ゴシック" w:cs="游ゴシック"/>
                <w:sz w:val="19"/>
              </w:rPr>
            </w:r>
          </w:p>
        </w:tc>
        <w:tc>
          <w:tcPr>
            <w:tcW w:type="dxa" w:w="4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導入・研修</w:t>
            </w:r>
          </w:p>
        </w:tc>
        <w:tc>
          <w:tcPr>
            <w:tcW w:type="dxa" w:w="2353"/>
          </w:tcPr>
          <w:p>
            <w:r/>
            <w:r>
              <w:rPr>
                <w:rFonts w:ascii="游ゴシック" w:hAnsi="游ゴシック" w:eastAsia="游ゴシック" w:cs="游ゴシック"/>
                <w:sz w:val="19"/>
              </w:rPr>
            </w:r>
          </w:p>
        </w:tc>
        <w:tc>
          <w:tcPr>
            <w:tcW w:type="dxa" w:w="4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社内工数（人事・情報システム）</w:t>
            </w:r>
          </w:p>
        </w:tc>
        <w:tc>
          <w:tcPr>
            <w:tcW w:type="dxa" w:w="2353"/>
          </w:tcPr>
          <w:p>
            <w:r/>
            <w:r>
              <w:rPr>
                <w:rFonts w:ascii="游ゴシック" w:hAnsi="游ゴシック" w:eastAsia="游ゴシック" w:cs="游ゴシック"/>
                <w:sz w:val="19"/>
              </w:rPr>
            </w:r>
          </w:p>
        </w:tc>
        <w:tc>
          <w:tcPr>
            <w:tcW w:type="dxa" w:w="4117"/>
          </w:tcPr>
          <w:p>
            <w:r/>
            <w:r>
              <w:rPr>
                <w:rFonts w:ascii="游ゴシック" w:hAnsi="游ゴシック" w:eastAsia="游ゴシック" w:cs="游ゴシック"/>
                <w:sz w:val="19"/>
              </w:rPr>
            </w:r>
          </w:p>
        </w:tc>
      </w:tr>
      <w:tr>
        <w:tc>
          <w:tcPr>
            <w:tcW w:type="dxa" w:w="2941"/>
          </w:tcPr>
          <w:p>
            <w:r/>
            <w:r>
              <w:rPr>
                <w:rFonts w:ascii="游ゴシック" w:hAnsi="游ゴシック" w:eastAsia="游ゴシック" w:cs="游ゴシック"/>
                <w:sz w:val="19"/>
              </w:rPr>
              <w:t>合計</w:t>
            </w:r>
          </w:p>
        </w:tc>
        <w:tc>
          <w:tcPr>
            <w:tcW w:type="dxa" w:w="2353"/>
          </w:tcPr>
          <w:p>
            <w:r/>
            <w:r>
              <w:rPr>
                <w:rFonts w:ascii="游ゴシック" w:hAnsi="游ゴシック" w:eastAsia="游ゴシック" w:cs="游ゴシック"/>
                <w:sz w:val="19"/>
              </w:rPr>
            </w:r>
          </w:p>
        </w:tc>
        <w:tc>
          <w:tcPr>
            <w:tcW w:type="dxa" w:w="4117"/>
          </w:tcPr>
          <w:p>
            <w:r/>
            <w:r>
              <w:rPr>
                <w:rFonts w:ascii="游ゴシック" w:hAnsi="游ゴシック" w:eastAsia="游ゴシック" w:cs="游ゴシック"/>
                <w:sz w:val="19"/>
              </w:rPr>
            </w:r>
          </w:p>
        </w:tc>
      </w:tr>
    </w:tbl>
    <w:p/>
    <w:p>
      <w:pPr>
        <w:spacing w:before="320" w:after="80"/>
      </w:pPr>
      <w:r>
        <w:rPr>
          <w:rFonts w:ascii="游ゴシック" w:hAnsi="游ゴシック" w:eastAsia="游ゴシック" w:cs="游ゴシック"/>
          <w:b/>
          <w:color w:val="1A1720"/>
          <w:sz w:val="30"/>
        </w:rPr>
        <w:t>8. リスクと対策</w:t>
      </w:r>
    </w:p>
    <w:tbl>
      <w:tblPr>
        <w:tblStyle w:val="TableGrid"/>
        <w:tblW w:type="auto" w:w="0"/>
        <w:jc w:val="center"/>
        <w:tblLayout w:type="fixed"/>
        <w:tblLook w:firstColumn="1" w:firstRow="1" w:lastColumn="0" w:lastRow="0" w:noHBand="0" w:noVBand="1" w:val="04A0"/>
      </w:tblPr>
      <w:tblGrid>
        <w:gridCol w:w="3529"/>
        <w:gridCol w:w="5882"/>
      </w:tblGrid>
      <w:tr>
        <w:tc>
          <w:tcPr>
            <w:tcW w:type="dxa" w:w="3529"/>
            <w:shd w:val="clear" w:color="auto" w:fill="F3EEE6"/>
          </w:tcPr>
          <w:p>
            <w:r/>
            <w:r>
              <w:rPr>
                <w:rFonts w:ascii="游ゴシック" w:hAnsi="游ゴシック" w:eastAsia="游ゴシック" w:cs="游ゴシック"/>
                <w:b/>
                <w:sz w:val="19"/>
              </w:rPr>
              <w:t>リスク</w:t>
            </w:r>
          </w:p>
        </w:tc>
        <w:tc>
          <w:tcPr>
            <w:tcW w:type="dxa" w:w="5882"/>
            <w:shd w:val="clear" w:color="auto" w:fill="F3EEE6"/>
          </w:tcPr>
          <w:p>
            <w:r/>
            <w:r>
              <w:rPr>
                <w:rFonts w:ascii="游ゴシック" w:hAnsi="游ゴシック" w:eastAsia="游ゴシック" w:cs="游ゴシック"/>
                <w:b/>
                <w:sz w:val="19"/>
              </w:rPr>
              <w:t>対策</w:t>
            </w:r>
          </w:p>
        </w:tc>
      </w:tr>
      <w:tr>
        <w:tc>
          <w:tcPr>
            <w:tcW w:type="dxa" w:w="3529"/>
          </w:tcPr>
          <w:p>
            <w:r/>
            <w:r>
              <w:rPr>
                <w:rFonts w:ascii="游ゴシック" w:hAnsi="游ゴシック" w:eastAsia="游ゴシック" w:cs="游ゴシック"/>
                <w:color w:val="6B6459"/>
                <w:sz w:val="19"/>
              </w:rPr>
              <w:t>例）従業員が監視と受け取る</w:t>
            </w:r>
          </w:p>
        </w:tc>
        <w:tc>
          <w:tcPr>
            <w:tcW w:type="dxa" w:w="5882"/>
          </w:tcPr>
          <w:p>
            <w:r/>
            <w:r>
              <w:rPr>
                <w:rFonts w:ascii="游ゴシック" w:hAnsi="游ゴシック" w:eastAsia="游ゴシック" w:cs="游ゴシック"/>
                <w:color w:val="6B6459"/>
                <w:sz w:val="19"/>
              </w:rPr>
              <w:t>例）読まない範囲（DM・勤怠・メッセージ数などの活動量）を明示し、事前に周知・協議する</w:t>
            </w:r>
          </w:p>
        </w:tc>
      </w:tr>
      <w:tr>
        <w:tc>
          <w:tcPr>
            <w:tcW w:type="dxa" w:w="3529"/>
          </w:tcPr>
          <w:p>
            <w:r/>
            <w:r>
              <w:rPr>
                <w:rFonts w:ascii="游ゴシック" w:hAnsi="游ゴシック" w:eastAsia="游ゴシック" w:cs="游ゴシック"/>
                <w:color w:val="6B6459"/>
                <w:sz w:val="19"/>
              </w:rPr>
              <w:t>例）AIが選んだ根拠が誤っている</w:t>
            </w:r>
          </w:p>
        </w:tc>
        <w:tc>
          <w:tcPr>
            <w:tcW w:type="dxa" w:w="5882"/>
          </w:tcPr>
          <w:p>
            <w:r/>
            <w:r>
              <w:rPr>
                <w:rFonts w:ascii="游ゴシック" w:hAnsi="游ゴシック" w:eastAsia="游ゴシック" w:cs="游ゴシック"/>
                <w:color w:val="6B6459"/>
                <w:sz w:val="19"/>
              </w:rPr>
              <w:t>例）評価者が根拠を確認して修正する。根拠のない項目は空欄にする</w:t>
            </w:r>
          </w:p>
        </w:tc>
      </w:tr>
      <w:tr>
        <w:tc>
          <w:tcPr>
            <w:tcW w:type="dxa" w:w="3529"/>
          </w:tcPr>
          <w:p>
            <w:r/>
            <w:r>
              <w:rPr>
                <w:rFonts w:ascii="游ゴシック" w:hAnsi="游ゴシック" w:eastAsia="游ゴシック" w:cs="游ゴシック"/>
                <w:color w:val="6B6459"/>
                <w:sz w:val="19"/>
              </w:rPr>
              <w:t>例）提供事業者でのデータ事故</w:t>
            </w:r>
          </w:p>
        </w:tc>
        <w:tc>
          <w:tcPr>
            <w:tcW w:type="dxa" w:w="5882"/>
          </w:tcPr>
          <w:p>
            <w:r/>
            <w:r>
              <w:rPr>
                <w:rFonts w:ascii="游ゴシック" w:hAnsi="游ゴシック" w:eastAsia="游ゴシック" w:cs="游ゴシック"/>
                <w:color w:val="6B6459"/>
                <w:sz w:val="19"/>
              </w:rPr>
              <w:t>例）委託契約、元データを保管しないことの確認、事故時の通知期限を契約に明記</w:t>
            </w:r>
          </w:p>
        </w:tc>
      </w:tr>
    </w:tbl>
    <w:p/>
    <w:p>
      <w:pPr>
        <w:spacing w:before="320" w:after="80"/>
      </w:pPr>
      <w:r>
        <w:rPr>
          <w:rFonts w:ascii="游ゴシック" w:hAnsi="游ゴシック" w:eastAsia="游ゴシック" w:cs="游ゴシック"/>
          <w:b/>
          <w:color w:val="1A1720"/>
          <w:sz w:val="30"/>
        </w:rPr>
        <w:t>9. 決裁事項</w:t>
      </w:r>
    </w:p>
    <w:p>
      <w:r>
        <w:rPr>
          <w:rFonts w:ascii="游ゴシック" w:hAnsi="游ゴシック" w:eastAsia="游ゴシック" w:cs="游ゴシック"/>
          <w:sz w:val="20"/>
        </w:rPr>
        <w:t>□ 試験導入の承認（対象・期間・費用）</w:t>
      </w:r>
    </w:p>
    <w:p>
      <w:r>
        <w:rPr>
          <w:rFonts w:ascii="游ゴシック" w:hAnsi="游ゴシック" w:eastAsia="游ゴシック" w:cs="游ゴシック"/>
          <w:sz w:val="20"/>
        </w:rPr>
        <w:t>□ 労働組合（または過半数代表者）への説明</w:t>
      </w:r>
    </w:p>
    <w:p>
      <w:r>
        <w:rPr>
          <w:rFonts w:ascii="游ゴシック" w:hAnsi="游ゴシック" w:eastAsia="游ゴシック" w:cs="游ゴシック"/>
          <w:sz w:val="20"/>
        </w:rPr>
        <w:t>□ 提供事業者のセキュリティ・法務確認の開始</w:t>
      </w:r>
    </w:p>
    <w:p>
      <w:r>
        <w:rPr>
          <w:rFonts w:ascii="游ゴシック" w:hAnsi="游ゴシック" w:eastAsia="游ゴシック" w:cs="游ゴシック"/>
          <w:sz w:val="20"/>
        </w:rPr>
        <w:t>□ 従業員への周知日程の確定</w:t>
      </w:r>
    </w:p>
    <w:p>
      <w:r>
        <w:br w:type="page"/>
      </w:r>
    </w:p>
    <w:p>
      <w:pPr>
        <w:spacing w:before="320" w:after="80"/>
      </w:pPr>
      <w:r>
        <w:rPr>
          <w:rFonts w:ascii="游ゴシック" w:hAnsi="游ゴシック" w:eastAsia="游ゴシック" w:cs="游ゴシック"/>
          <w:b/>
          <w:color w:val="1A1720"/>
          <w:sz w:val="30"/>
        </w:rPr>
        <w:t>別紙：従業員向け周知文（案）</w:t>
      </w:r>
    </w:p>
    <w:p>
      <w:r>
        <w:rPr>
          <w:rFonts w:ascii="游ゴシック" w:hAnsi="游ゴシック" w:eastAsia="游ゴシック" w:cs="游ゴシック"/>
          <w:i/>
          <w:color w:val="6B6459"/>
          <w:sz w:val="18"/>
        </w:rPr>
        <w:t>記入のポイント：自社の規程と法令に合わせて修正し、必要に応じて労働組合等への説明を経てから配布します。</w:t>
      </w:r>
    </w:p>
    <w:p>
      <w:r>
        <w:rPr>
          <w:rFonts w:ascii="游ゴシック" w:hAnsi="游ゴシック" w:eastAsia="游ゴシック" w:cs="游ゴシック"/>
          <w:sz w:val="20"/>
        </w:rPr>
        <w:t>件名：業務記録を活用した評価根拠の整理（試験導入）のお知らせ</w:t>
      </w:r>
    </w:p>
    <w:p>
      <w:r>
        <w:rPr>
          <w:rFonts w:ascii="游ゴシック" w:hAnsi="游ゴシック" w:eastAsia="游ゴシック" w:cs="游ゴシック"/>
          <w:sz w:val="20"/>
        </w:rPr>
        <w:t>○月から○チームで、評価の根拠を記憶ではなく業務の記録から探す方法を試験的に導入します。</w:t>
      </w:r>
    </w:p>
    <w:p>
      <w:r>
        <w:rPr>
          <w:rFonts w:ascii="游ゴシック" w:hAnsi="游ゴシック" w:eastAsia="游ゴシック" w:cs="游ゴシック"/>
          <w:sz w:val="20"/>
        </w:rPr>
        <w:t>読み込むもの：チームチャンネルのメッセージ、業務ドキュメント、課題とその変更履歴</w:t>
      </w:r>
    </w:p>
    <w:p>
      <w:r>
        <w:rPr>
          <w:rFonts w:ascii="游ゴシック" w:hAnsi="游ゴシック" w:eastAsia="游ゴシック" w:cs="游ゴシック"/>
          <w:sz w:val="20"/>
        </w:rPr>
        <w:t>読み込まないもの：個人のメッセージ（DM）、個人のドライブ・メール、勤怠、給与、メッセージ数・ログイン時間などの活動量</w:t>
      </w:r>
    </w:p>
    <w:p>
      <w:r>
        <w:rPr>
          <w:rFonts w:ascii="游ゴシック" w:hAnsi="游ゴシック" w:eastAsia="游ゴシック" w:cs="游ゴシック"/>
          <w:sz w:val="20"/>
        </w:rPr>
        <w:t>結果を見る人：人事部と所属の上長。評語と処遇はこれまでどおり人が決めます。</w:t>
      </w:r>
    </w:p>
    <w:p>
      <w:r>
        <w:rPr>
          <w:rFonts w:ascii="游ゴシック" w:hAnsi="游ゴシック" w:eastAsia="游ゴシック" w:cs="游ゴシック"/>
          <w:sz w:val="20"/>
        </w:rPr>
        <w:t>試験導入期間の結果は処遇に反映しません。</w:t>
      </w:r>
    </w:p>
    <w:p>
      <w:r>
        <w:rPr>
          <w:rFonts w:ascii="游ゴシック" w:hAnsi="游ゴシック" w:eastAsia="游ゴシック" w:cs="游ゴシック"/>
          <w:sz w:val="20"/>
        </w:rPr>
        <w:t>お問い合わせ・ご意見：○○○（人事部）</w:t>
      </w:r>
    </w:p>
    <w:p>
      <w:r>
        <w:rPr>
          <w:rFonts w:ascii="游ゴシック" w:hAnsi="游ゴシック" w:eastAsia="游ゴシック" w:cs="游ゴシック"/>
          <w:color w:val="6B6459"/>
          <w:sz w:val="16"/>
        </w:rPr>
        <w:t>CoSprint リソース — www.cosprint.ai/ja/resources/ai-jinji-hyoka-ringisho-template</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